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F506" w14:textId="77777777" w:rsidR="00471049" w:rsidRPr="00AF6052" w:rsidRDefault="00471049" w:rsidP="00471049">
      <w:pPr>
        <w:pStyle w:val="Header"/>
        <w:jc w:val="center"/>
        <w:rPr>
          <w:rFonts w:ascii="Times New Roman" w:hAnsi="Times New Roman" w:cs="Times New Roman"/>
          <w:b/>
          <w:i/>
          <w:sz w:val="38"/>
        </w:rPr>
      </w:pPr>
      <w:r w:rsidRPr="00AF6052">
        <w:rPr>
          <w:rFonts w:ascii="Times New Roman" w:hAnsi="Times New Roman" w:cs="Times New Roman"/>
          <w:b/>
          <w:i/>
          <w:sz w:val="38"/>
        </w:rPr>
        <w:t>Public Utility Commission of Texas</w:t>
      </w:r>
    </w:p>
    <w:p w14:paraId="742DCD3B" w14:textId="77777777" w:rsidR="00471049" w:rsidRPr="00AF6052" w:rsidRDefault="00471049" w:rsidP="00471049">
      <w:pPr>
        <w:pStyle w:val="Header"/>
        <w:tabs>
          <w:tab w:val="left" w:pos="1800"/>
          <w:tab w:val="left" w:pos="6840"/>
        </w:tabs>
        <w:spacing w:before="120" w:after="120"/>
        <w:jc w:val="center"/>
        <w:rPr>
          <w:rFonts w:ascii="Times New Roman" w:hAnsi="Times New Roman" w:cs="Times New Roman"/>
          <w:b/>
          <w:sz w:val="12"/>
        </w:rPr>
      </w:pPr>
      <w:r w:rsidRPr="00AF6052">
        <w:rPr>
          <w:rFonts w:ascii="Times New Roman" w:hAnsi="Times New Roman" w:cs="Times New Roman"/>
          <w:b/>
          <w:sz w:val="12"/>
          <w:u w:val="single"/>
        </w:rPr>
        <w:t>___________________________________________________________________________________</w:t>
      </w:r>
    </w:p>
    <w:p w14:paraId="1C273969" w14:textId="77777777" w:rsidR="00471049" w:rsidRPr="00AF6052" w:rsidRDefault="00471049" w:rsidP="00471049">
      <w:pPr>
        <w:pStyle w:val="Header"/>
        <w:tabs>
          <w:tab w:val="left" w:pos="1980"/>
          <w:tab w:val="left" w:pos="6750"/>
        </w:tabs>
        <w:spacing w:after="240"/>
        <w:jc w:val="center"/>
        <w:rPr>
          <w:rFonts w:ascii="Times New Roman" w:hAnsi="Times New Roman" w:cs="Times New Roman"/>
          <w:b/>
          <w:sz w:val="38"/>
        </w:rPr>
      </w:pPr>
      <w:r w:rsidRPr="00AF6052">
        <w:rPr>
          <w:rFonts w:ascii="Times New Roman" w:hAnsi="Times New Roman" w:cs="Times New Roman"/>
          <w:b/>
          <w:sz w:val="38"/>
        </w:rPr>
        <w:t>Memorandum</w:t>
      </w:r>
    </w:p>
    <w:p w14:paraId="27D2370E" w14:textId="77777777" w:rsidR="001E34BE" w:rsidRDefault="001E34BE" w:rsidP="001E34BE">
      <w:pPr>
        <w:tabs>
          <w:tab w:val="left" w:pos="1080"/>
        </w:tabs>
        <w:spacing w:after="0"/>
        <w:rPr>
          <w:rFonts w:ascii="Times New Roman" w:hAnsi="Times New Roman" w:cs="Times New Roman"/>
          <w:b/>
          <w:sz w:val="24"/>
        </w:rPr>
      </w:pPr>
    </w:p>
    <w:p w14:paraId="7E5F1BC5" w14:textId="45EB30F9" w:rsidR="00BE7BB9" w:rsidRDefault="001E34BE" w:rsidP="001E34BE">
      <w:pPr>
        <w:tabs>
          <w:tab w:val="left" w:pos="1080"/>
        </w:tabs>
        <w:spacing w:after="0" w:line="240" w:lineRule="auto"/>
        <w:rPr>
          <w:rFonts w:ascii="Times New Roman" w:hAnsi="Times New Roman" w:cs="Times New Roman"/>
          <w:sz w:val="24"/>
        </w:rPr>
      </w:pPr>
      <w:r>
        <w:rPr>
          <w:rFonts w:ascii="Times New Roman" w:hAnsi="Times New Roman" w:cs="Times New Roman"/>
          <w:b/>
          <w:sz w:val="24"/>
        </w:rPr>
        <w:t>TO</w:t>
      </w:r>
      <w:r w:rsidR="00275909" w:rsidRPr="00943871">
        <w:rPr>
          <w:rFonts w:ascii="Times New Roman" w:hAnsi="Times New Roman" w:cs="Times New Roman"/>
          <w:b/>
          <w:sz w:val="24"/>
        </w:rPr>
        <w:t>:</w:t>
      </w:r>
      <w:r w:rsidR="001C3905" w:rsidRPr="00943871">
        <w:rPr>
          <w:rFonts w:ascii="Times New Roman" w:hAnsi="Times New Roman" w:cs="Times New Roman"/>
          <w:sz w:val="24"/>
        </w:rPr>
        <w:tab/>
      </w:r>
      <w:r w:rsidR="00434E22">
        <w:rPr>
          <w:rFonts w:ascii="Times New Roman" w:hAnsi="Times New Roman" w:cs="Times New Roman"/>
          <w:sz w:val="24"/>
        </w:rPr>
        <w:t xml:space="preserve">Tyler Xu, </w:t>
      </w:r>
      <w:r w:rsidR="00566853">
        <w:rPr>
          <w:rFonts w:ascii="Times New Roman" w:hAnsi="Times New Roman" w:cs="Times New Roman"/>
          <w:sz w:val="24"/>
        </w:rPr>
        <w:t>Attorney</w:t>
      </w:r>
    </w:p>
    <w:p w14:paraId="242771D2" w14:textId="5DC2292E" w:rsidR="00BE6A4A" w:rsidRPr="00943871" w:rsidRDefault="00BE7BB9" w:rsidP="001E34BE">
      <w:pPr>
        <w:tabs>
          <w:tab w:val="left" w:pos="1080"/>
        </w:tabs>
        <w:spacing w:after="0" w:line="240" w:lineRule="auto"/>
        <w:rPr>
          <w:rFonts w:ascii="Times New Roman" w:hAnsi="Times New Roman" w:cs="Times New Roman"/>
          <w:sz w:val="24"/>
        </w:rPr>
      </w:pPr>
      <w:r>
        <w:rPr>
          <w:rFonts w:ascii="Times New Roman" w:hAnsi="Times New Roman" w:cs="Times New Roman"/>
          <w:sz w:val="24"/>
        </w:rPr>
        <w:tab/>
      </w:r>
      <w:r w:rsidR="001E34BE">
        <w:rPr>
          <w:rFonts w:ascii="Times New Roman" w:hAnsi="Times New Roman" w:cs="Times New Roman"/>
          <w:sz w:val="24"/>
        </w:rPr>
        <w:t>Legal</w:t>
      </w:r>
      <w:r w:rsidR="00566853">
        <w:rPr>
          <w:rFonts w:ascii="Times New Roman" w:hAnsi="Times New Roman" w:cs="Times New Roman"/>
          <w:sz w:val="24"/>
        </w:rPr>
        <w:t xml:space="preserve"> Division</w:t>
      </w:r>
    </w:p>
    <w:p w14:paraId="18463C97" w14:textId="77777777" w:rsidR="00275909" w:rsidRPr="00943871" w:rsidRDefault="00275909" w:rsidP="001E34BE">
      <w:pPr>
        <w:tabs>
          <w:tab w:val="left" w:pos="1080"/>
        </w:tabs>
        <w:spacing w:after="0" w:line="240" w:lineRule="auto"/>
        <w:rPr>
          <w:rFonts w:ascii="Times New Roman" w:hAnsi="Times New Roman" w:cs="Times New Roman"/>
          <w:sz w:val="24"/>
        </w:rPr>
      </w:pPr>
    </w:p>
    <w:p w14:paraId="34C33165" w14:textId="77777777" w:rsidR="00BE7BB9" w:rsidRDefault="001E34BE" w:rsidP="001E34BE">
      <w:pPr>
        <w:tabs>
          <w:tab w:val="left" w:pos="1080"/>
        </w:tabs>
        <w:spacing w:after="0" w:line="240" w:lineRule="auto"/>
        <w:rPr>
          <w:rFonts w:ascii="Times New Roman" w:hAnsi="Times New Roman" w:cs="Times New Roman"/>
          <w:sz w:val="24"/>
        </w:rPr>
      </w:pPr>
      <w:r>
        <w:rPr>
          <w:rFonts w:ascii="Times New Roman" w:hAnsi="Times New Roman" w:cs="Times New Roman"/>
          <w:b/>
          <w:sz w:val="24"/>
        </w:rPr>
        <w:t>FROM</w:t>
      </w:r>
      <w:r w:rsidR="001D713D" w:rsidRPr="00943871">
        <w:rPr>
          <w:rFonts w:ascii="Times New Roman" w:hAnsi="Times New Roman" w:cs="Times New Roman"/>
          <w:b/>
          <w:sz w:val="24"/>
        </w:rPr>
        <w:t>:</w:t>
      </w:r>
      <w:r w:rsidR="00275909" w:rsidRPr="00943871">
        <w:rPr>
          <w:rFonts w:ascii="Times New Roman" w:hAnsi="Times New Roman" w:cs="Times New Roman"/>
          <w:sz w:val="24"/>
        </w:rPr>
        <w:tab/>
      </w:r>
      <w:r w:rsidR="00252B70" w:rsidRPr="00094490">
        <w:rPr>
          <w:rFonts w:ascii="Times New Roman" w:hAnsi="Times New Roman" w:cs="Times New Roman"/>
          <w:sz w:val="24"/>
        </w:rPr>
        <w:t>Anna Givens, Director of Financial Review Section</w:t>
      </w:r>
    </w:p>
    <w:p w14:paraId="598F2247" w14:textId="2EE3A8F7" w:rsidR="00275909" w:rsidRDefault="00BE7BB9" w:rsidP="001E34BE">
      <w:pPr>
        <w:tabs>
          <w:tab w:val="left" w:pos="1080"/>
        </w:tabs>
        <w:spacing w:after="0" w:line="240" w:lineRule="auto"/>
        <w:rPr>
          <w:rFonts w:ascii="Times New Roman" w:hAnsi="Times New Roman" w:cs="Times New Roman"/>
          <w:sz w:val="24"/>
        </w:rPr>
      </w:pPr>
      <w:r>
        <w:rPr>
          <w:rFonts w:ascii="Times New Roman" w:hAnsi="Times New Roman" w:cs="Times New Roman"/>
          <w:sz w:val="24"/>
        </w:rPr>
        <w:tab/>
      </w:r>
      <w:r w:rsidR="00EF1393">
        <w:rPr>
          <w:rFonts w:ascii="Times New Roman" w:hAnsi="Times New Roman" w:cs="Times New Roman"/>
          <w:sz w:val="24"/>
        </w:rPr>
        <w:t>Rate Regulation Division</w:t>
      </w:r>
    </w:p>
    <w:p w14:paraId="6322EB30" w14:textId="5FFBEBAF" w:rsidR="001E34BE" w:rsidRDefault="00DE11C0" w:rsidP="00566853">
      <w:pPr>
        <w:tabs>
          <w:tab w:val="left" w:pos="1080"/>
        </w:tabs>
        <w:spacing w:after="0" w:line="240" w:lineRule="auto"/>
        <w:rPr>
          <w:rFonts w:ascii="Times New Roman" w:hAnsi="Times New Roman" w:cs="Times New Roman"/>
          <w:b/>
          <w:sz w:val="24"/>
        </w:rPr>
      </w:pPr>
      <w:r>
        <w:rPr>
          <w:rFonts w:ascii="Times New Roman" w:hAnsi="Times New Roman" w:cs="Times New Roman"/>
          <w:sz w:val="24"/>
        </w:rPr>
        <w:tab/>
      </w:r>
    </w:p>
    <w:p w14:paraId="4DA571C5" w14:textId="18C92C95" w:rsidR="00275909" w:rsidRPr="00943871" w:rsidRDefault="00275909" w:rsidP="001E34BE">
      <w:pPr>
        <w:tabs>
          <w:tab w:val="left" w:pos="1080"/>
          <w:tab w:val="right" w:pos="9360"/>
        </w:tabs>
        <w:spacing w:after="0" w:line="240" w:lineRule="auto"/>
        <w:rPr>
          <w:rFonts w:ascii="Times New Roman" w:hAnsi="Times New Roman" w:cs="Times New Roman"/>
          <w:b/>
          <w:sz w:val="24"/>
        </w:rPr>
      </w:pPr>
      <w:r w:rsidRPr="00943871">
        <w:rPr>
          <w:rFonts w:ascii="Times New Roman" w:hAnsi="Times New Roman" w:cs="Times New Roman"/>
          <w:b/>
          <w:sz w:val="24"/>
        </w:rPr>
        <w:t>D</w:t>
      </w:r>
      <w:r w:rsidR="001E34BE">
        <w:rPr>
          <w:rFonts w:ascii="Times New Roman" w:hAnsi="Times New Roman" w:cs="Times New Roman"/>
          <w:b/>
          <w:sz w:val="24"/>
        </w:rPr>
        <w:t>ATE</w:t>
      </w:r>
      <w:r w:rsidRPr="00943871">
        <w:rPr>
          <w:rFonts w:ascii="Times New Roman" w:hAnsi="Times New Roman" w:cs="Times New Roman"/>
          <w:b/>
          <w:sz w:val="24"/>
        </w:rPr>
        <w:t>:</w:t>
      </w:r>
      <w:r w:rsidR="00300587" w:rsidRPr="00943871">
        <w:rPr>
          <w:rFonts w:ascii="Times New Roman" w:hAnsi="Times New Roman" w:cs="Times New Roman"/>
          <w:sz w:val="24"/>
        </w:rPr>
        <w:tab/>
      </w:r>
      <w:r w:rsidR="007A0578">
        <w:rPr>
          <w:rFonts w:ascii="Times New Roman" w:hAnsi="Times New Roman" w:cs="Times New Roman"/>
          <w:sz w:val="24"/>
        </w:rPr>
        <w:t xml:space="preserve">September </w:t>
      </w:r>
      <w:r w:rsidR="003237F7">
        <w:rPr>
          <w:rFonts w:ascii="Times New Roman" w:hAnsi="Times New Roman" w:cs="Times New Roman"/>
          <w:sz w:val="24"/>
        </w:rPr>
        <w:t>5</w:t>
      </w:r>
      <w:r w:rsidR="00252B70">
        <w:rPr>
          <w:rFonts w:ascii="Times New Roman" w:hAnsi="Times New Roman" w:cs="Times New Roman"/>
          <w:sz w:val="24"/>
        </w:rPr>
        <w:t>, 202</w:t>
      </w:r>
      <w:r w:rsidR="003238F6">
        <w:rPr>
          <w:rFonts w:ascii="Times New Roman" w:hAnsi="Times New Roman" w:cs="Times New Roman"/>
          <w:sz w:val="24"/>
        </w:rPr>
        <w:t>4</w:t>
      </w:r>
    </w:p>
    <w:p w14:paraId="5F0A6A88" w14:textId="77777777" w:rsidR="00275909" w:rsidRPr="00943871" w:rsidRDefault="00275909" w:rsidP="001E34BE">
      <w:pPr>
        <w:tabs>
          <w:tab w:val="left" w:pos="1080"/>
        </w:tabs>
        <w:spacing w:after="0" w:line="240" w:lineRule="auto"/>
        <w:ind w:left="1440" w:hanging="1440"/>
        <w:rPr>
          <w:rFonts w:ascii="Times New Roman" w:hAnsi="Times New Roman" w:cs="Times New Roman"/>
          <w:sz w:val="24"/>
        </w:rPr>
      </w:pPr>
    </w:p>
    <w:p w14:paraId="2DA5C6B0" w14:textId="6C1B3B7B" w:rsidR="00111789" w:rsidRDefault="001E34BE" w:rsidP="001E34BE">
      <w:pPr>
        <w:tabs>
          <w:tab w:val="left" w:pos="1080"/>
        </w:tabs>
        <w:spacing w:after="0" w:line="240" w:lineRule="auto"/>
        <w:ind w:left="1080" w:hanging="1080"/>
        <w:jc w:val="both"/>
        <w:rPr>
          <w:rFonts w:ascii="Times New Roman" w:hAnsi="Times New Roman" w:cs="Times New Roman"/>
          <w:i/>
          <w:sz w:val="24"/>
        </w:rPr>
      </w:pPr>
      <w:r>
        <w:rPr>
          <w:rFonts w:ascii="Times New Roman" w:hAnsi="Times New Roman" w:cs="Times New Roman"/>
          <w:b/>
          <w:sz w:val="24"/>
        </w:rPr>
        <w:t>RE</w:t>
      </w:r>
      <w:r w:rsidR="00275909" w:rsidRPr="00943871">
        <w:rPr>
          <w:rFonts w:ascii="Times New Roman" w:hAnsi="Times New Roman" w:cs="Times New Roman"/>
          <w:b/>
          <w:sz w:val="24"/>
        </w:rPr>
        <w:t>:</w:t>
      </w:r>
      <w:r w:rsidR="00471049" w:rsidRPr="00943871">
        <w:rPr>
          <w:rFonts w:ascii="Times New Roman" w:hAnsi="Times New Roman" w:cs="Times New Roman"/>
          <w:b/>
          <w:sz w:val="24"/>
        </w:rPr>
        <w:tab/>
      </w:r>
      <w:r w:rsidR="00740ACD" w:rsidRPr="000720A1">
        <w:rPr>
          <w:rFonts w:ascii="Times New Roman" w:hAnsi="Times New Roman" w:cs="Times New Roman"/>
          <w:bCs/>
          <w:sz w:val="24"/>
        </w:rPr>
        <w:t>Docket</w:t>
      </w:r>
      <w:r w:rsidRPr="000720A1">
        <w:rPr>
          <w:rFonts w:ascii="Times New Roman" w:hAnsi="Times New Roman" w:cs="Times New Roman"/>
          <w:bCs/>
          <w:sz w:val="24"/>
        </w:rPr>
        <w:t xml:space="preserve"> No</w:t>
      </w:r>
      <w:r w:rsidR="00740ACD" w:rsidRPr="000720A1">
        <w:rPr>
          <w:rFonts w:ascii="Times New Roman" w:hAnsi="Times New Roman" w:cs="Times New Roman"/>
          <w:bCs/>
          <w:sz w:val="24"/>
        </w:rPr>
        <w:t xml:space="preserve">. </w:t>
      </w:r>
      <w:r w:rsidR="00252B70" w:rsidRPr="000720A1">
        <w:rPr>
          <w:rFonts w:ascii="Times New Roman" w:hAnsi="Times New Roman" w:cs="Times New Roman"/>
          <w:bCs/>
          <w:sz w:val="24"/>
        </w:rPr>
        <w:t>5</w:t>
      </w:r>
      <w:r w:rsidR="00434E22">
        <w:rPr>
          <w:rFonts w:ascii="Times New Roman" w:hAnsi="Times New Roman" w:cs="Times New Roman"/>
          <w:bCs/>
          <w:sz w:val="24"/>
        </w:rPr>
        <w:t>6272</w:t>
      </w:r>
      <w:r w:rsidR="00EF1393">
        <w:rPr>
          <w:rFonts w:ascii="Times New Roman" w:hAnsi="Times New Roman" w:cs="Times New Roman"/>
          <w:sz w:val="24"/>
        </w:rPr>
        <w:t xml:space="preserve"> – </w:t>
      </w:r>
      <w:r w:rsidR="00740ACD">
        <w:rPr>
          <w:rFonts w:ascii="Times New Roman" w:hAnsi="Times New Roman" w:cs="Times New Roman"/>
          <w:i/>
          <w:sz w:val="24"/>
        </w:rPr>
        <w:t xml:space="preserve">Compliance </w:t>
      </w:r>
      <w:r w:rsidR="003238F6">
        <w:rPr>
          <w:rFonts w:ascii="Times New Roman" w:hAnsi="Times New Roman" w:cs="Times New Roman"/>
          <w:i/>
          <w:sz w:val="24"/>
        </w:rPr>
        <w:t xml:space="preserve">Filing for </w:t>
      </w:r>
      <w:r w:rsidR="00883144">
        <w:rPr>
          <w:rFonts w:ascii="Times New Roman" w:hAnsi="Times New Roman" w:cs="Times New Roman"/>
          <w:i/>
          <w:sz w:val="24"/>
        </w:rPr>
        <w:t xml:space="preserve">Docket No. </w:t>
      </w:r>
      <w:r w:rsidR="003238F6">
        <w:rPr>
          <w:rFonts w:ascii="Times New Roman" w:hAnsi="Times New Roman" w:cs="Times New Roman"/>
          <w:i/>
          <w:sz w:val="24"/>
        </w:rPr>
        <w:t>507</w:t>
      </w:r>
      <w:r w:rsidR="00AA11D2">
        <w:rPr>
          <w:rFonts w:ascii="Times New Roman" w:hAnsi="Times New Roman" w:cs="Times New Roman"/>
          <w:i/>
          <w:sz w:val="24"/>
        </w:rPr>
        <w:t>88</w:t>
      </w:r>
      <w:r w:rsidR="00883144">
        <w:rPr>
          <w:rFonts w:ascii="Times New Roman" w:hAnsi="Times New Roman" w:cs="Times New Roman"/>
          <w:i/>
          <w:sz w:val="24"/>
        </w:rPr>
        <w:t xml:space="preserve"> (</w:t>
      </w:r>
      <w:r w:rsidR="00AA11D2">
        <w:rPr>
          <w:rFonts w:ascii="Times New Roman" w:hAnsi="Times New Roman" w:cs="Times New Roman"/>
          <w:i/>
          <w:sz w:val="24"/>
        </w:rPr>
        <w:t xml:space="preserve">Ratepayers Appeal of the Decision by Windermere Oaks </w:t>
      </w:r>
      <w:r w:rsidR="003238F6">
        <w:rPr>
          <w:rFonts w:ascii="Times New Roman" w:hAnsi="Times New Roman" w:cs="Times New Roman"/>
          <w:i/>
          <w:sz w:val="24"/>
        </w:rPr>
        <w:t>Water</w:t>
      </w:r>
      <w:r w:rsidR="00AA11D2">
        <w:rPr>
          <w:rFonts w:ascii="Times New Roman" w:hAnsi="Times New Roman" w:cs="Times New Roman"/>
          <w:i/>
          <w:sz w:val="24"/>
        </w:rPr>
        <w:t xml:space="preserve"> Supply Corporation</w:t>
      </w:r>
      <w:r w:rsidR="00883144">
        <w:rPr>
          <w:rFonts w:ascii="Times New Roman" w:hAnsi="Times New Roman" w:cs="Times New Roman"/>
          <w:i/>
          <w:sz w:val="24"/>
        </w:rPr>
        <w:t xml:space="preserve"> to Cha</w:t>
      </w:r>
      <w:r w:rsidR="00F26F1A">
        <w:rPr>
          <w:rFonts w:ascii="Times New Roman" w:hAnsi="Times New Roman" w:cs="Times New Roman"/>
          <w:i/>
          <w:sz w:val="24"/>
        </w:rPr>
        <w:t>n</w:t>
      </w:r>
      <w:r w:rsidR="00883144">
        <w:rPr>
          <w:rFonts w:ascii="Times New Roman" w:hAnsi="Times New Roman" w:cs="Times New Roman"/>
          <w:i/>
          <w:sz w:val="24"/>
        </w:rPr>
        <w:t xml:space="preserve">ge </w:t>
      </w:r>
      <w:r w:rsidR="00AA11D2">
        <w:rPr>
          <w:rFonts w:ascii="Times New Roman" w:hAnsi="Times New Roman" w:cs="Times New Roman"/>
          <w:i/>
          <w:sz w:val="24"/>
        </w:rPr>
        <w:t xml:space="preserve">Water and Sewer </w:t>
      </w:r>
      <w:r w:rsidR="00883144">
        <w:rPr>
          <w:rFonts w:ascii="Times New Roman" w:hAnsi="Times New Roman" w:cs="Times New Roman"/>
          <w:i/>
          <w:sz w:val="24"/>
        </w:rPr>
        <w:t>Rates)</w:t>
      </w:r>
    </w:p>
    <w:p w14:paraId="4BC41B43" w14:textId="60F3E8E7" w:rsidR="001E34BE" w:rsidRDefault="001E34BE" w:rsidP="000B6758">
      <w:pPr>
        <w:pBdr>
          <w:bottom w:val="single" w:sz="4" w:space="1" w:color="auto"/>
        </w:pBdr>
        <w:tabs>
          <w:tab w:val="left" w:pos="1440"/>
        </w:tabs>
        <w:spacing w:after="0" w:line="240" w:lineRule="auto"/>
        <w:ind w:left="1440" w:hanging="1440"/>
        <w:jc w:val="both"/>
        <w:rPr>
          <w:rFonts w:ascii="Times New Roman" w:hAnsi="Times New Roman" w:cs="Times New Roman"/>
          <w:sz w:val="24"/>
        </w:rPr>
      </w:pPr>
    </w:p>
    <w:p w14:paraId="3D56C490" w14:textId="2D01D89F" w:rsidR="001E34BE" w:rsidRDefault="00473436" w:rsidP="00B06DAD">
      <w:pPr>
        <w:tabs>
          <w:tab w:val="left" w:pos="6770"/>
        </w:tabs>
        <w:spacing w:after="0" w:line="240" w:lineRule="auto"/>
        <w:ind w:left="1440" w:hanging="1440"/>
        <w:jc w:val="both"/>
        <w:rPr>
          <w:rFonts w:ascii="Times New Roman" w:hAnsi="Times New Roman" w:cs="Times New Roman"/>
          <w:i/>
          <w:sz w:val="24"/>
        </w:rPr>
      </w:pPr>
      <w:r>
        <w:rPr>
          <w:rFonts w:ascii="Times New Roman" w:hAnsi="Times New Roman" w:cs="Times New Roman"/>
          <w:i/>
          <w:sz w:val="24"/>
        </w:rPr>
        <w:tab/>
      </w:r>
      <w:r>
        <w:rPr>
          <w:rFonts w:ascii="Times New Roman" w:hAnsi="Times New Roman" w:cs="Times New Roman"/>
          <w:i/>
          <w:sz w:val="24"/>
        </w:rPr>
        <w:tab/>
      </w:r>
    </w:p>
    <w:p w14:paraId="765AB819" w14:textId="62379F2D" w:rsidR="00E76A3A" w:rsidRDefault="00E76A3A" w:rsidP="00E76A3A">
      <w:pPr>
        <w:spacing w:after="0" w:line="240" w:lineRule="auto"/>
        <w:jc w:val="both"/>
        <w:rPr>
          <w:rFonts w:ascii="Times New Roman" w:hAnsi="Times New Roman" w:cs="Times New Roman"/>
          <w:sz w:val="24"/>
          <w:szCs w:val="24"/>
        </w:rPr>
      </w:pPr>
      <w:r w:rsidRPr="00F26F1A">
        <w:rPr>
          <w:rFonts w:ascii="Times New Roman" w:hAnsi="Times New Roman" w:cs="Times New Roman"/>
          <w:sz w:val="24"/>
          <w:szCs w:val="24"/>
        </w:rPr>
        <w:t xml:space="preserve">On </w:t>
      </w:r>
      <w:r w:rsidR="001A0760">
        <w:rPr>
          <w:rFonts w:ascii="Times New Roman" w:hAnsi="Times New Roman" w:cs="Times New Roman"/>
          <w:sz w:val="24"/>
          <w:szCs w:val="24"/>
        </w:rPr>
        <w:t xml:space="preserve">March </w:t>
      </w:r>
      <w:r w:rsidR="007D4394">
        <w:rPr>
          <w:rFonts w:ascii="Times New Roman" w:hAnsi="Times New Roman" w:cs="Times New Roman"/>
          <w:sz w:val="24"/>
          <w:szCs w:val="24"/>
        </w:rPr>
        <w:t>21, 2024</w:t>
      </w:r>
      <w:r w:rsidRPr="00F26F1A">
        <w:rPr>
          <w:rFonts w:ascii="Times New Roman" w:hAnsi="Times New Roman" w:cs="Times New Roman"/>
          <w:sz w:val="24"/>
          <w:szCs w:val="24"/>
        </w:rPr>
        <w:t xml:space="preserve">, the Commission </w:t>
      </w:r>
      <w:r w:rsidR="003238F6">
        <w:rPr>
          <w:rFonts w:ascii="Times New Roman" w:hAnsi="Times New Roman" w:cs="Times New Roman"/>
          <w:sz w:val="24"/>
          <w:szCs w:val="24"/>
        </w:rPr>
        <w:t>issued its</w:t>
      </w:r>
      <w:r w:rsidRPr="00F26F1A">
        <w:rPr>
          <w:rFonts w:ascii="Times New Roman" w:hAnsi="Times New Roman" w:cs="Times New Roman"/>
          <w:sz w:val="24"/>
          <w:szCs w:val="24"/>
        </w:rPr>
        <w:t xml:space="preserve"> Order, which</w:t>
      </w:r>
      <w:r>
        <w:rPr>
          <w:rFonts w:ascii="Times New Roman" w:hAnsi="Times New Roman" w:cs="Times New Roman"/>
          <w:sz w:val="24"/>
          <w:szCs w:val="24"/>
        </w:rPr>
        <w:t xml:space="preserve"> r</w:t>
      </w:r>
      <w:r w:rsidRPr="00F26F1A">
        <w:rPr>
          <w:rFonts w:ascii="Times New Roman" w:hAnsi="Times New Roman" w:cs="Times New Roman"/>
          <w:sz w:val="24"/>
          <w:szCs w:val="24"/>
        </w:rPr>
        <w:t xml:space="preserve">equires </w:t>
      </w:r>
      <w:r w:rsidR="007D4394">
        <w:rPr>
          <w:rFonts w:ascii="Times New Roman" w:hAnsi="Times New Roman" w:cs="Times New Roman"/>
          <w:sz w:val="24"/>
          <w:szCs w:val="24"/>
        </w:rPr>
        <w:t>Windermere Oaks Water Supply Corporation</w:t>
      </w:r>
      <w:r w:rsidR="003238F6">
        <w:rPr>
          <w:rFonts w:ascii="Times New Roman" w:hAnsi="Times New Roman" w:cs="Times New Roman"/>
          <w:sz w:val="24"/>
          <w:szCs w:val="24"/>
        </w:rPr>
        <w:t xml:space="preserve"> (</w:t>
      </w:r>
      <w:r w:rsidR="007D4394">
        <w:rPr>
          <w:rFonts w:ascii="Times New Roman" w:hAnsi="Times New Roman" w:cs="Times New Roman"/>
          <w:sz w:val="24"/>
          <w:szCs w:val="24"/>
        </w:rPr>
        <w:t>Windermere</w:t>
      </w:r>
      <w:r w:rsidR="006D7243">
        <w:rPr>
          <w:rFonts w:ascii="Times New Roman" w:hAnsi="Times New Roman" w:cs="Times New Roman"/>
          <w:sz w:val="24"/>
          <w:szCs w:val="24"/>
        </w:rPr>
        <w:t>)</w:t>
      </w:r>
      <w:r>
        <w:rPr>
          <w:rFonts w:ascii="Times New Roman" w:hAnsi="Times New Roman" w:cs="Times New Roman"/>
          <w:sz w:val="24"/>
          <w:szCs w:val="24"/>
        </w:rPr>
        <w:t xml:space="preserve"> </w:t>
      </w:r>
      <w:r w:rsidRPr="00F26F1A">
        <w:rPr>
          <w:rFonts w:ascii="Times New Roman" w:hAnsi="Times New Roman" w:cs="Times New Roman"/>
          <w:sz w:val="24"/>
          <w:szCs w:val="24"/>
        </w:rPr>
        <w:t xml:space="preserve">to implement </w:t>
      </w:r>
      <w:r w:rsidR="003238F6">
        <w:rPr>
          <w:rFonts w:ascii="Times New Roman" w:hAnsi="Times New Roman" w:cs="Times New Roman"/>
          <w:sz w:val="24"/>
          <w:szCs w:val="24"/>
        </w:rPr>
        <w:t xml:space="preserve">a rate-case expense </w:t>
      </w:r>
      <w:r w:rsidRPr="00F26F1A">
        <w:rPr>
          <w:rFonts w:ascii="Times New Roman" w:hAnsi="Times New Roman" w:cs="Times New Roman"/>
          <w:sz w:val="24"/>
          <w:szCs w:val="24"/>
        </w:rPr>
        <w:t>surcharge</w:t>
      </w:r>
      <w:r>
        <w:rPr>
          <w:rFonts w:ascii="Times New Roman" w:hAnsi="Times New Roman" w:cs="Times New Roman"/>
          <w:sz w:val="24"/>
          <w:szCs w:val="24"/>
        </w:rPr>
        <w:t xml:space="preserve"> related to Docket No. </w:t>
      </w:r>
      <w:r w:rsidR="003238F6">
        <w:rPr>
          <w:rFonts w:ascii="Times New Roman" w:hAnsi="Times New Roman" w:cs="Times New Roman"/>
          <w:sz w:val="24"/>
          <w:szCs w:val="24"/>
        </w:rPr>
        <w:t>507</w:t>
      </w:r>
      <w:r w:rsidR="007D4394">
        <w:rPr>
          <w:rFonts w:ascii="Times New Roman" w:hAnsi="Times New Roman" w:cs="Times New Roman"/>
          <w:sz w:val="24"/>
          <w:szCs w:val="24"/>
        </w:rPr>
        <w:t>88</w:t>
      </w:r>
      <w:r>
        <w:rPr>
          <w:rFonts w:ascii="Times New Roman" w:hAnsi="Times New Roman" w:cs="Times New Roman"/>
          <w:sz w:val="24"/>
          <w:szCs w:val="24"/>
        </w:rPr>
        <w:t xml:space="preserve"> </w:t>
      </w:r>
      <w:r w:rsidRPr="00F26F1A">
        <w:rPr>
          <w:rFonts w:ascii="Times New Roman" w:hAnsi="Times New Roman" w:cs="Times New Roman"/>
          <w:sz w:val="24"/>
          <w:szCs w:val="24"/>
        </w:rPr>
        <w:t>in this</w:t>
      </w:r>
      <w:r>
        <w:rPr>
          <w:rFonts w:ascii="Times New Roman" w:hAnsi="Times New Roman" w:cs="Times New Roman"/>
          <w:sz w:val="24"/>
          <w:szCs w:val="24"/>
        </w:rPr>
        <w:t xml:space="preserve"> compliance</w:t>
      </w:r>
      <w:r w:rsidRPr="00F26F1A">
        <w:rPr>
          <w:rFonts w:ascii="Times New Roman" w:hAnsi="Times New Roman" w:cs="Times New Roman"/>
          <w:sz w:val="24"/>
          <w:szCs w:val="24"/>
        </w:rPr>
        <w:t xml:space="preserve"> docket.</w:t>
      </w:r>
      <w:r w:rsidR="00950209">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r w:rsidRPr="00F26F1A">
        <w:rPr>
          <w:rFonts w:ascii="Times New Roman" w:hAnsi="Times New Roman" w:cs="Times New Roman"/>
          <w:sz w:val="24"/>
          <w:szCs w:val="24"/>
        </w:rPr>
        <w:t xml:space="preserve"> </w:t>
      </w:r>
      <w:r w:rsidRPr="00484AC5">
        <w:rPr>
          <w:rFonts w:ascii="Times New Roman" w:hAnsi="Times New Roman" w:cs="Times New Roman"/>
          <w:sz w:val="24"/>
          <w:szCs w:val="24"/>
        </w:rPr>
        <w:t>The Order</w:t>
      </w:r>
      <w:r w:rsidR="00BA5463">
        <w:rPr>
          <w:rFonts w:ascii="Times New Roman" w:hAnsi="Times New Roman" w:cs="Times New Roman"/>
          <w:sz w:val="24"/>
          <w:szCs w:val="24"/>
        </w:rPr>
        <w:t xml:space="preserve"> authorizes </w:t>
      </w:r>
      <w:r w:rsidR="0004446C">
        <w:rPr>
          <w:rFonts w:ascii="Times New Roman" w:hAnsi="Times New Roman" w:cs="Times New Roman"/>
          <w:sz w:val="24"/>
          <w:szCs w:val="24"/>
        </w:rPr>
        <w:t>Windermere</w:t>
      </w:r>
      <w:r w:rsidR="00BA5463">
        <w:rPr>
          <w:rFonts w:ascii="Times New Roman" w:hAnsi="Times New Roman" w:cs="Times New Roman"/>
          <w:sz w:val="24"/>
          <w:szCs w:val="24"/>
        </w:rPr>
        <w:t xml:space="preserve"> to collect rate-case expenses of $</w:t>
      </w:r>
      <w:r w:rsidR="00BB7002">
        <w:rPr>
          <w:rFonts w:ascii="Times New Roman" w:hAnsi="Times New Roman" w:cs="Times New Roman"/>
          <w:sz w:val="24"/>
          <w:szCs w:val="24"/>
        </w:rPr>
        <w:t>478,184.04</w:t>
      </w:r>
      <w:r w:rsidR="00BA5463">
        <w:rPr>
          <w:rFonts w:ascii="Times New Roman" w:hAnsi="Times New Roman" w:cs="Times New Roman"/>
          <w:sz w:val="24"/>
          <w:szCs w:val="24"/>
        </w:rPr>
        <w:t xml:space="preserve"> through</w:t>
      </w:r>
      <w:r w:rsidRPr="00484AC5">
        <w:rPr>
          <w:rFonts w:ascii="Times New Roman" w:hAnsi="Times New Roman" w:cs="Times New Roman"/>
          <w:sz w:val="24"/>
          <w:szCs w:val="24"/>
        </w:rPr>
        <w:t xml:space="preserve"> a monthly surcharge of $</w:t>
      </w:r>
      <w:r w:rsidR="00BB7002">
        <w:rPr>
          <w:rFonts w:ascii="Times New Roman" w:hAnsi="Times New Roman" w:cs="Times New Roman"/>
          <w:sz w:val="24"/>
          <w:szCs w:val="24"/>
        </w:rPr>
        <w:t>39.21</w:t>
      </w:r>
      <w:r w:rsidRPr="00484AC5">
        <w:rPr>
          <w:rFonts w:ascii="Times New Roman" w:hAnsi="Times New Roman" w:cs="Times New Roman"/>
          <w:sz w:val="24"/>
          <w:szCs w:val="24"/>
        </w:rPr>
        <w:t xml:space="preserve"> per connection </w:t>
      </w:r>
      <w:r w:rsidR="00BA5463">
        <w:rPr>
          <w:rFonts w:ascii="Times New Roman" w:hAnsi="Times New Roman" w:cs="Times New Roman"/>
          <w:sz w:val="24"/>
          <w:szCs w:val="24"/>
        </w:rPr>
        <w:t xml:space="preserve">over a </w:t>
      </w:r>
      <w:r w:rsidR="00BB7002">
        <w:rPr>
          <w:rFonts w:ascii="Times New Roman" w:hAnsi="Times New Roman" w:cs="Times New Roman"/>
          <w:sz w:val="24"/>
          <w:szCs w:val="24"/>
        </w:rPr>
        <w:t>45</w:t>
      </w:r>
      <w:r w:rsidR="00BA5463">
        <w:rPr>
          <w:rFonts w:ascii="Times New Roman" w:hAnsi="Times New Roman" w:cs="Times New Roman"/>
          <w:sz w:val="24"/>
          <w:szCs w:val="24"/>
        </w:rPr>
        <w:t>-month period</w:t>
      </w:r>
      <w:r w:rsidR="00BB7002">
        <w:rPr>
          <w:rFonts w:ascii="Times New Roman" w:hAnsi="Times New Roman" w:cs="Times New Roman"/>
          <w:sz w:val="24"/>
          <w:szCs w:val="24"/>
        </w:rPr>
        <w:t xml:space="preserve"> or until $478,184.04 is collected, whichever occurs first</w:t>
      </w:r>
      <w:r w:rsidRPr="00484AC5">
        <w:rPr>
          <w:rFonts w:ascii="Times New Roman" w:hAnsi="Times New Roman" w:cs="Times New Roman"/>
          <w:sz w:val="24"/>
          <w:szCs w:val="24"/>
        </w:rPr>
        <w:t>.</w:t>
      </w:r>
      <w:r w:rsidR="000A1660">
        <w:rPr>
          <w:rStyle w:val="FootnoteReference"/>
          <w:rFonts w:ascii="Times New Roman" w:hAnsi="Times New Roman" w:cs="Times New Roman"/>
          <w:sz w:val="24"/>
          <w:szCs w:val="24"/>
        </w:rPr>
        <w:footnoteReference w:id="2"/>
      </w:r>
      <w:r w:rsidR="004E650A">
        <w:rPr>
          <w:rFonts w:ascii="Times New Roman" w:hAnsi="Times New Roman" w:cs="Times New Roman"/>
          <w:sz w:val="24"/>
          <w:szCs w:val="24"/>
        </w:rPr>
        <w:t xml:space="preserve">  Additionally, the Order requires Windermere to issue water refunds of $43.59 per month and sewer refunds of $32.03 per month over a 45-month period of until a net amount of $884,666.62 has been refund</w:t>
      </w:r>
      <w:r w:rsidR="002D3C3C">
        <w:rPr>
          <w:rFonts w:ascii="Times New Roman" w:hAnsi="Times New Roman" w:cs="Times New Roman"/>
          <w:sz w:val="24"/>
          <w:szCs w:val="24"/>
        </w:rPr>
        <w:t>ed</w:t>
      </w:r>
      <w:r w:rsidR="004E650A">
        <w:rPr>
          <w:rFonts w:ascii="Times New Roman" w:hAnsi="Times New Roman" w:cs="Times New Roman"/>
          <w:sz w:val="24"/>
          <w:szCs w:val="24"/>
        </w:rPr>
        <w:t>, whichever occurs first.</w:t>
      </w:r>
      <w:r w:rsidR="004E650A">
        <w:rPr>
          <w:rStyle w:val="FootnoteReference"/>
          <w:rFonts w:ascii="Times New Roman" w:hAnsi="Times New Roman" w:cs="Times New Roman"/>
          <w:sz w:val="24"/>
          <w:szCs w:val="24"/>
        </w:rPr>
        <w:footnoteReference w:id="3"/>
      </w:r>
    </w:p>
    <w:p w14:paraId="4A144279" w14:textId="2EA94252" w:rsidR="00D54A6C" w:rsidRDefault="00566853" w:rsidP="003E6227">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w:t>
      </w:r>
      <w:r w:rsidR="00145BEA">
        <w:rPr>
          <w:rFonts w:ascii="Times New Roman" w:eastAsia="Times New Roman" w:hAnsi="Times New Roman" w:cs="Times New Roman"/>
          <w:sz w:val="24"/>
          <w:szCs w:val="24"/>
        </w:rPr>
        <w:t>June 11</w:t>
      </w:r>
      <w:r w:rsidR="00BF51ED">
        <w:rPr>
          <w:rFonts w:ascii="Times New Roman" w:eastAsia="Times New Roman" w:hAnsi="Times New Roman" w:cs="Times New Roman"/>
          <w:sz w:val="24"/>
          <w:szCs w:val="24"/>
        </w:rPr>
        <w:t>, 2024</w:t>
      </w:r>
      <w:r w:rsidRPr="00566853">
        <w:rPr>
          <w:rFonts w:ascii="Times New Roman" w:eastAsia="Times New Roman" w:hAnsi="Times New Roman" w:cs="Times New Roman"/>
          <w:sz w:val="24"/>
          <w:szCs w:val="24"/>
        </w:rPr>
        <w:t>,</w:t>
      </w:r>
      <w:r w:rsidR="0040645B">
        <w:rPr>
          <w:rFonts w:ascii="Times New Roman" w:eastAsia="Times New Roman" w:hAnsi="Times New Roman" w:cs="Times New Roman"/>
          <w:sz w:val="24"/>
          <w:szCs w:val="24"/>
        </w:rPr>
        <w:t xml:space="preserve"> </w:t>
      </w:r>
      <w:r w:rsidR="00145BEA">
        <w:rPr>
          <w:rFonts w:ascii="Times New Roman" w:eastAsia="Times New Roman" w:hAnsi="Times New Roman" w:cs="Times New Roman"/>
          <w:sz w:val="24"/>
          <w:szCs w:val="24"/>
        </w:rPr>
        <w:t>Windermere</w:t>
      </w:r>
      <w:r w:rsidR="00740ACD">
        <w:rPr>
          <w:rFonts w:ascii="Times New Roman" w:eastAsia="Times New Roman" w:hAnsi="Times New Roman" w:cs="Times New Roman"/>
          <w:sz w:val="24"/>
          <w:szCs w:val="24"/>
        </w:rPr>
        <w:t xml:space="preserve"> filed its </w:t>
      </w:r>
      <w:r w:rsidR="00BF51ED">
        <w:rPr>
          <w:rFonts w:ascii="Times New Roman" w:eastAsia="Times New Roman" w:hAnsi="Times New Roman" w:cs="Times New Roman"/>
          <w:sz w:val="24"/>
          <w:szCs w:val="24"/>
        </w:rPr>
        <w:t xml:space="preserve">initial compliance report </w:t>
      </w:r>
      <w:r w:rsidR="000C2E8F">
        <w:rPr>
          <w:rFonts w:ascii="Times New Roman" w:eastAsia="Times New Roman" w:hAnsi="Times New Roman" w:cs="Times New Roman"/>
          <w:sz w:val="24"/>
          <w:szCs w:val="24"/>
        </w:rPr>
        <w:t>to demonstrate the</w:t>
      </w:r>
      <w:r w:rsidR="00BF51ED">
        <w:rPr>
          <w:rFonts w:ascii="Times New Roman" w:eastAsia="Times New Roman" w:hAnsi="Times New Roman" w:cs="Times New Roman"/>
          <w:sz w:val="24"/>
          <w:szCs w:val="24"/>
        </w:rPr>
        <w:t xml:space="preserve"> </w:t>
      </w:r>
      <w:r w:rsidR="000C2E8F">
        <w:rPr>
          <w:rFonts w:ascii="Times New Roman" w:eastAsia="Times New Roman" w:hAnsi="Times New Roman" w:cs="Times New Roman"/>
          <w:sz w:val="24"/>
          <w:szCs w:val="24"/>
        </w:rPr>
        <w:t xml:space="preserve">surcharge implemented for the period beginning </w:t>
      </w:r>
      <w:r w:rsidR="001A595F">
        <w:rPr>
          <w:rFonts w:ascii="Times New Roman" w:eastAsia="Times New Roman" w:hAnsi="Times New Roman" w:cs="Times New Roman"/>
          <w:sz w:val="24"/>
          <w:szCs w:val="24"/>
        </w:rPr>
        <w:t>April 2024</w:t>
      </w:r>
      <w:r w:rsidR="003971B0">
        <w:rPr>
          <w:rFonts w:ascii="Times New Roman" w:eastAsia="Times New Roman" w:hAnsi="Times New Roman" w:cs="Times New Roman"/>
          <w:sz w:val="24"/>
          <w:szCs w:val="24"/>
        </w:rPr>
        <w:t xml:space="preserve">. </w:t>
      </w:r>
      <w:r w:rsidR="008501AF">
        <w:rPr>
          <w:rFonts w:ascii="Times New Roman" w:eastAsia="Times New Roman" w:hAnsi="Times New Roman" w:cs="Times New Roman"/>
          <w:sz w:val="24"/>
          <w:szCs w:val="24"/>
        </w:rPr>
        <w:t xml:space="preserve"> On June 13, 2024, Windermere supplemented its compliance report </w:t>
      </w:r>
      <w:r w:rsidR="00D7241F">
        <w:rPr>
          <w:rFonts w:ascii="Times New Roman" w:eastAsia="Times New Roman" w:hAnsi="Times New Roman" w:cs="Times New Roman"/>
          <w:sz w:val="24"/>
          <w:szCs w:val="24"/>
        </w:rPr>
        <w:t xml:space="preserve">with </w:t>
      </w:r>
      <w:r w:rsidR="00E42BFC">
        <w:rPr>
          <w:rFonts w:ascii="Times New Roman" w:eastAsia="Times New Roman" w:hAnsi="Times New Roman" w:cs="Times New Roman"/>
          <w:sz w:val="24"/>
          <w:szCs w:val="24"/>
        </w:rPr>
        <w:t xml:space="preserve">a </w:t>
      </w:r>
      <w:r w:rsidR="00D7241F">
        <w:rPr>
          <w:rFonts w:ascii="Times New Roman" w:eastAsia="Times New Roman" w:hAnsi="Times New Roman" w:cs="Times New Roman"/>
          <w:sz w:val="24"/>
          <w:szCs w:val="24"/>
        </w:rPr>
        <w:t>native excel file</w:t>
      </w:r>
      <w:r w:rsidR="00E42BFC">
        <w:rPr>
          <w:rFonts w:ascii="Times New Roman" w:eastAsia="Times New Roman" w:hAnsi="Times New Roman" w:cs="Times New Roman"/>
          <w:sz w:val="24"/>
          <w:szCs w:val="24"/>
        </w:rPr>
        <w:t xml:space="preserve"> that </w:t>
      </w:r>
      <w:r w:rsidR="00D90371">
        <w:rPr>
          <w:rFonts w:ascii="Times New Roman" w:eastAsia="Times New Roman" w:hAnsi="Times New Roman" w:cs="Times New Roman"/>
          <w:sz w:val="24"/>
          <w:szCs w:val="24"/>
        </w:rPr>
        <w:t xml:space="preserve">is organized by account number and shows the running total for each account with regard to </w:t>
      </w:r>
      <w:r w:rsidR="00B620F0">
        <w:rPr>
          <w:rFonts w:ascii="Times New Roman" w:eastAsia="Times New Roman" w:hAnsi="Times New Roman" w:cs="Times New Roman"/>
          <w:sz w:val="24"/>
          <w:szCs w:val="24"/>
        </w:rPr>
        <w:t xml:space="preserve">the </w:t>
      </w:r>
      <w:r w:rsidR="00D90371">
        <w:rPr>
          <w:rFonts w:ascii="Times New Roman" w:eastAsia="Times New Roman" w:hAnsi="Times New Roman" w:cs="Times New Roman"/>
          <w:sz w:val="24"/>
          <w:szCs w:val="24"/>
        </w:rPr>
        <w:t xml:space="preserve">water credit, </w:t>
      </w:r>
      <w:r w:rsidR="00B620F0">
        <w:rPr>
          <w:rFonts w:ascii="Times New Roman" w:eastAsia="Times New Roman" w:hAnsi="Times New Roman" w:cs="Times New Roman"/>
          <w:sz w:val="24"/>
          <w:szCs w:val="24"/>
        </w:rPr>
        <w:t xml:space="preserve">the </w:t>
      </w:r>
      <w:r w:rsidR="00D90371">
        <w:rPr>
          <w:rFonts w:ascii="Times New Roman" w:eastAsia="Times New Roman" w:hAnsi="Times New Roman" w:cs="Times New Roman"/>
          <w:sz w:val="24"/>
          <w:szCs w:val="24"/>
        </w:rPr>
        <w:t>sewer credit, and the rate-case expense surcharge</w:t>
      </w:r>
      <w:r w:rsidR="00D7241F">
        <w:rPr>
          <w:rFonts w:ascii="Times New Roman" w:eastAsia="Times New Roman" w:hAnsi="Times New Roman" w:cs="Times New Roman"/>
          <w:sz w:val="24"/>
          <w:szCs w:val="24"/>
        </w:rPr>
        <w:t xml:space="preserve">.  </w:t>
      </w:r>
      <w:r w:rsidR="007A0578">
        <w:rPr>
          <w:rFonts w:ascii="Times New Roman" w:eastAsia="Times New Roman" w:hAnsi="Times New Roman" w:cs="Times New Roman"/>
          <w:sz w:val="24"/>
          <w:szCs w:val="24"/>
        </w:rPr>
        <w:t>On August 14, 2024, in response to the administrative law judge’s (ALJ) Order No.4, Windermere supplemented its first compliance report.  The supplemented compliance report included surcharge and credit amounts by account number, month, and amount.</w:t>
      </w:r>
    </w:p>
    <w:p w14:paraId="1E9A8C54" w14:textId="4A841CAD" w:rsidR="00D54A6C" w:rsidRDefault="00D54A6C" w:rsidP="003E6227">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the information provided in </w:t>
      </w:r>
      <w:r w:rsidR="00852DF2">
        <w:rPr>
          <w:rFonts w:ascii="Times New Roman" w:eastAsia="Times New Roman" w:hAnsi="Times New Roman" w:cs="Times New Roman"/>
          <w:sz w:val="24"/>
          <w:szCs w:val="24"/>
        </w:rPr>
        <w:t>Windermere</w:t>
      </w:r>
      <w:r>
        <w:rPr>
          <w:rFonts w:ascii="Times New Roman" w:eastAsia="Times New Roman" w:hAnsi="Times New Roman" w:cs="Times New Roman"/>
          <w:sz w:val="24"/>
          <w:szCs w:val="24"/>
        </w:rPr>
        <w:t>’s</w:t>
      </w:r>
      <w:r w:rsidR="007A0578">
        <w:rPr>
          <w:rFonts w:ascii="Times New Roman" w:eastAsia="Times New Roman" w:hAnsi="Times New Roman" w:cs="Times New Roman"/>
          <w:sz w:val="24"/>
          <w:szCs w:val="24"/>
        </w:rPr>
        <w:t xml:space="preserve"> supplemented</w:t>
      </w:r>
      <w:r>
        <w:rPr>
          <w:rFonts w:ascii="Times New Roman" w:eastAsia="Times New Roman" w:hAnsi="Times New Roman" w:cs="Times New Roman"/>
          <w:sz w:val="24"/>
          <w:szCs w:val="24"/>
        </w:rPr>
        <w:t xml:space="preserve"> </w:t>
      </w:r>
      <w:r w:rsidR="00BF51ED">
        <w:rPr>
          <w:rFonts w:ascii="Times New Roman" w:eastAsia="Times New Roman" w:hAnsi="Times New Roman" w:cs="Times New Roman"/>
          <w:sz w:val="24"/>
          <w:szCs w:val="24"/>
        </w:rPr>
        <w:t>initial</w:t>
      </w:r>
      <w:r>
        <w:rPr>
          <w:rFonts w:ascii="Times New Roman" w:eastAsia="Times New Roman" w:hAnsi="Times New Roman" w:cs="Times New Roman"/>
          <w:sz w:val="24"/>
          <w:szCs w:val="24"/>
        </w:rPr>
        <w:t xml:space="preserve"> compliance report,</w:t>
      </w:r>
      <w:r w:rsidR="008C3AB6">
        <w:rPr>
          <w:rFonts w:ascii="Times New Roman" w:eastAsia="Times New Roman" w:hAnsi="Times New Roman" w:cs="Times New Roman"/>
          <w:sz w:val="24"/>
          <w:szCs w:val="24"/>
        </w:rPr>
        <w:t xml:space="preserve"> surcharges to effectuate the </w:t>
      </w:r>
      <w:r w:rsidR="00BF51ED">
        <w:rPr>
          <w:rFonts w:ascii="Times New Roman" w:eastAsia="Times New Roman" w:hAnsi="Times New Roman" w:cs="Times New Roman"/>
          <w:sz w:val="24"/>
          <w:szCs w:val="24"/>
        </w:rPr>
        <w:t>collection of rate-case expenses</w:t>
      </w:r>
      <w:r w:rsidR="008C3AB6">
        <w:rPr>
          <w:rFonts w:ascii="Times New Roman" w:eastAsia="Times New Roman" w:hAnsi="Times New Roman" w:cs="Times New Roman"/>
          <w:sz w:val="24"/>
          <w:szCs w:val="24"/>
        </w:rPr>
        <w:t xml:space="preserve"> occurred as follows</w:t>
      </w:r>
      <w:r w:rsidR="007A0578">
        <w:rPr>
          <w:rFonts w:ascii="Times New Roman" w:eastAsia="Times New Roman" w:hAnsi="Times New Roman" w:cs="Times New Roman"/>
          <w:sz w:val="24"/>
          <w:szCs w:val="24"/>
        </w:rPr>
        <w:t xml:space="preserve"> for the period March 2024 through July 2024</w:t>
      </w:r>
      <w:r w:rsidR="008C3AB6">
        <w:rPr>
          <w:rFonts w:ascii="Times New Roman" w:eastAsia="Times New Roman" w:hAnsi="Times New Roman" w:cs="Times New Roman"/>
          <w:sz w:val="24"/>
          <w:szCs w:val="24"/>
        </w:rPr>
        <w:t>.</w:t>
      </w:r>
    </w:p>
    <w:p w14:paraId="6AF43E84" w14:textId="77777777" w:rsidR="00C73743" w:rsidRDefault="00C73743" w:rsidP="003E6227">
      <w:pPr>
        <w:spacing w:before="120" w:after="0" w:line="240" w:lineRule="auto"/>
        <w:jc w:val="both"/>
        <w:rPr>
          <w:rFonts w:ascii="Times New Roman" w:eastAsia="Times New Roman" w:hAnsi="Times New Roman" w:cs="Times New Roman"/>
          <w:sz w:val="24"/>
          <w:szCs w:val="24"/>
        </w:rPr>
      </w:pPr>
    </w:p>
    <w:tbl>
      <w:tblPr>
        <w:tblStyle w:val="TableGrid"/>
        <w:tblW w:w="0" w:type="auto"/>
        <w:tblInd w:w="-5" w:type="dxa"/>
        <w:tblLook w:val="04A0" w:firstRow="1" w:lastRow="0" w:firstColumn="1" w:lastColumn="0" w:noHBand="0" w:noVBand="1"/>
      </w:tblPr>
      <w:tblGrid>
        <w:gridCol w:w="2970"/>
        <w:gridCol w:w="2610"/>
        <w:gridCol w:w="3690"/>
      </w:tblGrid>
      <w:tr w:rsidR="000971AC" w14:paraId="012F986F" w14:textId="77777777" w:rsidTr="000971AC">
        <w:tc>
          <w:tcPr>
            <w:tcW w:w="2970" w:type="dxa"/>
          </w:tcPr>
          <w:p w14:paraId="571574F3" w14:textId="7BFC14F0" w:rsidR="000971AC" w:rsidRDefault="000971AC" w:rsidP="008C3AB6">
            <w:pPr>
              <w:jc w:val="center"/>
              <w:rPr>
                <w:rFonts w:ascii="Times New Roman" w:eastAsia="Times New Roman" w:hAnsi="Times New Roman" w:cs="Times New Roman"/>
                <w:b/>
                <w:bCs/>
                <w:sz w:val="24"/>
                <w:szCs w:val="24"/>
              </w:rPr>
            </w:pPr>
            <w:bookmarkStart w:id="0" w:name="_Hlk176264713"/>
            <w:r w:rsidRPr="008C3AB6">
              <w:rPr>
                <w:rFonts w:ascii="Times New Roman" w:eastAsia="Times New Roman" w:hAnsi="Times New Roman" w:cs="Times New Roman"/>
                <w:b/>
                <w:bCs/>
                <w:sz w:val="24"/>
                <w:szCs w:val="24"/>
              </w:rPr>
              <w:lastRenderedPageBreak/>
              <w:t>Amount to be Surcharged</w:t>
            </w:r>
            <w:r>
              <w:rPr>
                <w:rStyle w:val="FootnoteReference"/>
                <w:rFonts w:ascii="Times New Roman" w:eastAsia="Times New Roman" w:hAnsi="Times New Roman" w:cs="Times New Roman"/>
                <w:b/>
                <w:bCs/>
                <w:sz w:val="24"/>
                <w:szCs w:val="24"/>
              </w:rPr>
              <w:footnoteReference w:id="4"/>
            </w:r>
          </w:p>
          <w:p w14:paraId="3BD8B51B" w14:textId="26D9D56D" w:rsidR="000971AC" w:rsidRPr="008C3AB6" w:rsidRDefault="000971AC" w:rsidP="008C3AB6">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w:t>
            </w:r>
          </w:p>
        </w:tc>
        <w:tc>
          <w:tcPr>
            <w:tcW w:w="2610" w:type="dxa"/>
          </w:tcPr>
          <w:p w14:paraId="04C1EF7B" w14:textId="1646687D" w:rsidR="000971AC" w:rsidRDefault="000971AC" w:rsidP="008C3AB6">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Amount Surcharged</w:t>
            </w:r>
          </w:p>
          <w:p w14:paraId="41ADA72D" w14:textId="70F209A2" w:rsidR="000971AC" w:rsidRDefault="000971AC" w:rsidP="008C3AB6">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Initial Report</w:t>
            </w:r>
          </w:p>
          <w:p w14:paraId="03A8AB4C" w14:textId="6F02D73B" w:rsidR="000971AC" w:rsidRPr="008C3AB6" w:rsidRDefault="000971AC" w:rsidP="008C3AB6">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w:t>
            </w:r>
          </w:p>
        </w:tc>
        <w:tc>
          <w:tcPr>
            <w:tcW w:w="3690" w:type="dxa"/>
          </w:tcPr>
          <w:p w14:paraId="7E4D9FB1" w14:textId="5D423F75" w:rsidR="000971AC" w:rsidRDefault="000971AC" w:rsidP="008C3AB6">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Remaining Balance to Surcharge</w:t>
            </w:r>
          </w:p>
          <w:p w14:paraId="78C037F5" w14:textId="0C74E3CC" w:rsidR="000971AC" w:rsidRPr="008C3AB6" w:rsidRDefault="000971AC" w:rsidP="008C3AB6">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 = (b)-(c)</w:t>
            </w:r>
          </w:p>
        </w:tc>
      </w:tr>
      <w:tr w:rsidR="000971AC" w14:paraId="6ED9B9C6" w14:textId="77777777" w:rsidTr="000971AC">
        <w:tc>
          <w:tcPr>
            <w:tcW w:w="2970" w:type="dxa"/>
          </w:tcPr>
          <w:p w14:paraId="4AC82EF8" w14:textId="32147520" w:rsidR="000971AC" w:rsidRDefault="000971AC" w:rsidP="00F7118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$ 478,184.04</w:t>
            </w:r>
          </w:p>
        </w:tc>
        <w:tc>
          <w:tcPr>
            <w:tcW w:w="2610" w:type="dxa"/>
          </w:tcPr>
          <w:p w14:paraId="7CBECE46" w14:textId="462AD4E3" w:rsidR="000971AC" w:rsidRDefault="000971AC" w:rsidP="00F7118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$57,694.11</w:t>
            </w:r>
            <w:r>
              <w:rPr>
                <w:rStyle w:val="FootnoteReference"/>
                <w:rFonts w:ascii="Times New Roman" w:eastAsia="Times New Roman" w:hAnsi="Times New Roman" w:cs="Times New Roman"/>
                <w:b/>
                <w:bCs/>
                <w:sz w:val="24"/>
                <w:szCs w:val="24"/>
              </w:rPr>
              <w:footnoteReference w:id="5"/>
            </w:r>
          </w:p>
        </w:tc>
        <w:tc>
          <w:tcPr>
            <w:tcW w:w="3690" w:type="dxa"/>
          </w:tcPr>
          <w:p w14:paraId="3EFC446C" w14:textId="27917FA8" w:rsidR="000971AC" w:rsidRDefault="000971AC" w:rsidP="00F7118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$420,489.93</w:t>
            </w:r>
          </w:p>
        </w:tc>
      </w:tr>
    </w:tbl>
    <w:bookmarkEnd w:id="0"/>
    <w:p w14:paraId="7C1754F0" w14:textId="163A1D68" w:rsidR="005006D2" w:rsidRDefault="005006D2" w:rsidP="00145CF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the information provided in Windermere’s supplemented initial compliance report, credits to effectuate the refund of water and sewer rates as specified by the Commission in its Order</w:t>
      </w:r>
      <w:r>
        <w:rPr>
          <w:rStyle w:val="FootnoteReference"/>
          <w:rFonts w:ascii="Times New Roman" w:eastAsia="Times New Roman" w:hAnsi="Times New Roman" w:cs="Times New Roman"/>
          <w:sz w:val="24"/>
          <w:szCs w:val="24"/>
        </w:rPr>
        <w:footnoteReference w:id="6"/>
      </w:r>
      <w:r w:rsidRPr="005006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occurred as follows for the period March 2024 through July 2024.</w:t>
      </w:r>
    </w:p>
    <w:tbl>
      <w:tblPr>
        <w:tblStyle w:val="TableGrid"/>
        <w:tblW w:w="0" w:type="auto"/>
        <w:tblInd w:w="-5" w:type="dxa"/>
        <w:tblLook w:val="04A0" w:firstRow="1" w:lastRow="0" w:firstColumn="1" w:lastColumn="0" w:noHBand="0" w:noVBand="1"/>
      </w:tblPr>
      <w:tblGrid>
        <w:gridCol w:w="1710"/>
        <w:gridCol w:w="1980"/>
        <w:gridCol w:w="1851"/>
        <w:gridCol w:w="1929"/>
        <w:gridCol w:w="1885"/>
      </w:tblGrid>
      <w:tr w:rsidR="00B41A49" w:rsidRPr="008C3AB6" w14:paraId="220FD557" w14:textId="77777777" w:rsidTr="000971AC">
        <w:tc>
          <w:tcPr>
            <w:tcW w:w="1710" w:type="dxa"/>
          </w:tcPr>
          <w:p w14:paraId="18A5B6A8" w14:textId="77777777" w:rsidR="00B41A49" w:rsidRDefault="00B41A49" w:rsidP="00FB7B91">
            <w:pPr>
              <w:jc w:val="center"/>
              <w:rPr>
                <w:rFonts w:ascii="Times New Roman" w:eastAsia="Times New Roman" w:hAnsi="Times New Roman" w:cs="Times New Roman"/>
                <w:b/>
                <w:bCs/>
                <w:sz w:val="24"/>
                <w:szCs w:val="24"/>
              </w:rPr>
            </w:pPr>
          </w:p>
          <w:p w14:paraId="285D0CE5" w14:textId="77777777" w:rsidR="00B41A49" w:rsidRDefault="00B41A49" w:rsidP="00FB7B91">
            <w:pPr>
              <w:jc w:val="center"/>
              <w:rPr>
                <w:rFonts w:ascii="Times New Roman" w:eastAsia="Times New Roman" w:hAnsi="Times New Roman" w:cs="Times New Roman"/>
                <w:b/>
                <w:bCs/>
                <w:sz w:val="24"/>
                <w:szCs w:val="24"/>
              </w:rPr>
            </w:pPr>
          </w:p>
          <w:p w14:paraId="14C47A12" w14:textId="77777777" w:rsidR="00B41A49" w:rsidRDefault="00B41A49" w:rsidP="00FB7B91">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Meter Size</w:t>
            </w:r>
          </w:p>
          <w:p w14:paraId="508BC5F3" w14:textId="77777777"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w:t>
            </w:r>
          </w:p>
        </w:tc>
        <w:tc>
          <w:tcPr>
            <w:tcW w:w="1980" w:type="dxa"/>
          </w:tcPr>
          <w:p w14:paraId="1D35EB13" w14:textId="1749AA27"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Net Water and Sewer </w:t>
            </w:r>
            <w:r w:rsidRPr="008C3AB6">
              <w:rPr>
                <w:rFonts w:ascii="Times New Roman" w:eastAsia="Times New Roman" w:hAnsi="Times New Roman" w:cs="Times New Roman"/>
                <w:b/>
                <w:bCs/>
                <w:sz w:val="24"/>
                <w:szCs w:val="24"/>
              </w:rPr>
              <w:t xml:space="preserve">Amount to be </w:t>
            </w:r>
            <w:r>
              <w:rPr>
                <w:rFonts w:ascii="Times New Roman" w:eastAsia="Times New Roman" w:hAnsi="Times New Roman" w:cs="Times New Roman"/>
                <w:b/>
                <w:bCs/>
                <w:sz w:val="24"/>
                <w:szCs w:val="24"/>
              </w:rPr>
              <w:t>Credited</w:t>
            </w:r>
            <w:r>
              <w:rPr>
                <w:rStyle w:val="FootnoteReference"/>
                <w:rFonts w:ascii="Times New Roman" w:eastAsia="Times New Roman" w:hAnsi="Times New Roman" w:cs="Times New Roman"/>
                <w:b/>
                <w:bCs/>
                <w:sz w:val="24"/>
                <w:szCs w:val="24"/>
              </w:rPr>
              <w:footnoteReference w:id="7"/>
            </w:r>
          </w:p>
          <w:p w14:paraId="3887EBAE" w14:textId="77777777"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w:t>
            </w:r>
          </w:p>
        </w:tc>
        <w:tc>
          <w:tcPr>
            <w:tcW w:w="1851" w:type="dxa"/>
          </w:tcPr>
          <w:p w14:paraId="51693964" w14:textId="7368E540"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Water </w:t>
            </w:r>
            <w:r w:rsidRPr="008C3AB6">
              <w:rPr>
                <w:rFonts w:ascii="Times New Roman" w:eastAsia="Times New Roman" w:hAnsi="Times New Roman" w:cs="Times New Roman"/>
                <w:b/>
                <w:bCs/>
                <w:sz w:val="24"/>
                <w:szCs w:val="24"/>
              </w:rPr>
              <w:t xml:space="preserve">Amount </w:t>
            </w:r>
            <w:r>
              <w:rPr>
                <w:rFonts w:ascii="Times New Roman" w:eastAsia="Times New Roman" w:hAnsi="Times New Roman" w:cs="Times New Roman"/>
                <w:b/>
                <w:bCs/>
                <w:sz w:val="24"/>
                <w:szCs w:val="24"/>
              </w:rPr>
              <w:t>Credited</w:t>
            </w:r>
          </w:p>
          <w:p w14:paraId="4CCBA099" w14:textId="77777777"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Initial Report</w:t>
            </w:r>
          </w:p>
          <w:p w14:paraId="3ADCDD4E" w14:textId="77777777"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w:t>
            </w:r>
          </w:p>
        </w:tc>
        <w:tc>
          <w:tcPr>
            <w:tcW w:w="1929" w:type="dxa"/>
          </w:tcPr>
          <w:p w14:paraId="24CB767E" w14:textId="31E32AE5"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Sewer Amount Credited Initial Report</w:t>
            </w:r>
          </w:p>
          <w:p w14:paraId="31811385" w14:textId="6B8A40C1" w:rsidR="00B41A49"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w:t>
            </w:r>
          </w:p>
        </w:tc>
        <w:tc>
          <w:tcPr>
            <w:tcW w:w="1885" w:type="dxa"/>
          </w:tcPr>
          <w:p w14:paraId="4622DD5D" w14:textId="152789A1" w:rsidR="00B41A49" w:rsidRDefault="00B41A49" w:rsidP="00FB7B91">
            <w:pPr>
              <w:jc w:val="center"/>
              <w:rPr>
                <w:rFonts w:ascii="Times New Roman" w:eastAsia="Times New Roman" w:hAnsi="Times New Roman" w:cs="Times New Roman"/>
                <w:b/>
                <w:bCs/>
                <w:sz w:val="24"/>
                <w:szCs w:val="24"/>
              </w:rPr>
            </w:pPr>
            <w:r w:rsidRPr="008C3AB6">
              <w:rPr>
                <w:rFonts w:ascii="Times New Roman" w:eastAsia="Times New Roman" w:hAnsi="Times New Roman" w:cs="Times New Roman"/>
                <w:b/>
                <w:bCs/>
                <w:sz w:val="24"/>
                <w:szCs w:val="24"/>
              </w:rPr>
              <w:t xml:space="preserve">Remaining Balance to </w:t>
            </w:r>
            <w:r>
              <w:rPr>
                <w:rFonts w:ascii="Times New Roman" w:eastAsia="Times New Roman" w:hAnsi="Times New Roman" w:cs="Times New Roman"/>
                <w:b/>
                <w:bCs/>
                <w:sz w:val="24"/>
                <w:szCs w:val="24"/>
              </w:rPr>
              <w:t>Credit</w:t>
            </w:r>
          </w:p>
          <w:p w14:paraId="4293256E" w14:textId="4FEFB07A" w:rsidR="00B41A49" w:rsidRPr="008C3AB6" w:rsidRDefault="00B41A49" w:rsidP="00FB7B91">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 = (b)-(c)-(d)</w:t>
            </w:r>
          </w:p>
        </w:tc>
      </w:tr>
      <w:tr w:rsidR="00B41A49" w14:paraId="05CA40A5" w14:textId="77777777" w:rsidTr="000971AC">
        <w:tc>
          <w:tcPr>
            <w:tcW w:w="1710" w:type="dxa"/>
          </w:tcPr>
          <w:p w14:paraId="54781F0E" w14:textId="77777777"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 to ¾”</w:t>
            </w:r>
          </w:p>
        </w:tc>
        <w:tc>
          <w:tcPr>
            <w:tcW w:w="1980" w:type="dxa"/>
          </w:tcPr>
          <w:p w14:paraId="1F4C3B9F" w14:textId="37A8AF42"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$ 884,666.62</w:t>
            </w:r>
          </w:p>
        </w:tc>
        <w:tc>
          <w:tcPr>
            <w:tcW w:w="1851" w:type="dxa"/>
          </w:tcPr>
          <w:p w14:paraId="4A980CF1" w14:textId="789EE7F5"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$63,485.49</w:t>
            </w:r>
            <w:r>
              <w:rPr>
                <w:rStyle w:val="FootnoteReference"/>
                <w:rFonts w:ascii="Times New Roman" w:eastAsia="Times New Roman" w:hAnsi="Times New Roman" w:cs="Times New Roman"/>
                <w:b/>
                <w:bCs/>
                <w:sz w:val="24"/>
                <w:szCs w:val="24"/>
              </w:rPr>
              <w:footnoteReference w:id="8"/>
            </w:r>
          </w:p>
        </w:tc>
        <w:tc>
          <w:tcPr>
            <w:tcW w:w="1929" w:type="dxa"/>
          </w:tcPr>
          <w:p w14:paraId="28E53065" w14:textId="0786A5F4"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$43,542.06</w:t>
            </w:r>
            <w:r>
              <w:rPr>
                <w:rStyle w:val="FootnoteReference"/>
                <w:rFonts w:ascii="Times New Roman" w:eastAsia="Times New Roman" w:hAnsi="Times New Roman" w:cs="Times New Roman"/>
                <w:sz w:val="24"/>
                <w:szCs w:val="24"/>
              </w:rPr>
              <w:footnoteReference w:id="9"/>
            </w:r>
          </w:p>
        </w:tc>
        <w:tc>
          <w:tcPr>
            <w:tcW w:w="1885" w:type="dxa"/>
          </w:tcPr>
          <w:p w14:paraId="46354CA5" w14:textId="25CA2ED9" w:rsidR="00B41A49" w:rsidRDefault="00B41A49" w:rsidP="00FB7B9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$777,639.07</w:t>
            </w:r>
          </w:p>
        </w:tc>
      </w:tr>
    </w:tbl>
    <w:p w14:paraId="25C81846" w14:textId="5E2C2893" w:rsidR="00950209" w:rsidRDefault="006A4AC5" w:rsidP="00782D30">
      <w:pPr>
        <w:widowControl w:val="0"/>
        <w:autoSpaceDE w:val="0"/>
        <w:autoSpaceDN w:val="0"/>
        <w:adjustRightInd w:val="0"/>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A0B97">
        <w:rPr>
          <w:rFonts w:ascii="Times New Roman" w:eastAsia="Times New Roman" w:hAnsi="Times New Roman" w:cs="Times New Roman"/>
          <w:sz w:val="24"/>
          <w:szCs w:val="24"/>
        </w:rPr>
        <w:t xml:space="preserve">he reported information </w:t>
      </w:r>
      <w:r w:rsidR="00A26CCA">
        <w:rPr>
          <w:rFonts w:ascii="Times New Roman" w:eastAsia="Times New Roman" w:hAnsi="Times New Roman" w:cs="Times New Roman"/>
          <w:sz w:val="24"/>
          <w:szCs w:val="24"/>
        </w:rPr>
        <w:t>identif</w:t>
      </w:r>
      <w:r w:rsidR="00782D30">
        <w:rPr>
          <w:rFonts w:ascii="Times New Roman" w:eastAsia="Times New Roman" w:hAnsi="Times New Roman" w:cs="Times New Roman"/>
          <w:sz w:val="24"/>
          <w:szCs w:val="24"/>
        </w:rPr>
        <w:t>ies</w:t>
      </w:r>
      <w:r w:rsidR="00A26CCA">
        <w:rPr>
          <w:rFonts w:ascii="Times New Roman" w:eastAsia="Times New Roman" w:hAnsi="Times New Roman" w:cs="Times New Roman"/>
          <w:sz w:val="24"/>
          <w:szCs w:val="24"/>
        </w:rPr>
        <w:t xml:space="preserve"> the</w:t>
      </w:r>
      <w:r w:rsidR="00AD0FC9">
        <w:rPr>
          <w:rFonts w:ascii="Times New Roman" w:eastAsia="Times New Roman" w:hAnsi="Times New Roman" w:cs="Times New Roman"/>
          <w:sz w:val="24"/>
          <w:szCs w:val="24"/>
        </w:rPr>
        <w:t xml:space="preserve"> individual billing</w:t>
      </w:r>
      <w:r w:rsidR="00A26CCA">
        <w:rPr>
          <w:rFonts w:ascii="Times New Roman" w:eastAsia="Times New Roman" w:hAnsi="Times New Roman" w:cs="Times New Roman"/>
          <w:sz w:val="24"/>
          <w:szCs w:val="24"/>
        </w:rPr>
        <w:t xml:space="preserve"> months over which </w:t>
      </w:r>
      <w:r w:rsidR="00782D30">
        <w:rPr>
          <w:rFonts w:ascii="Times New Roman" w:eastAsia="Times New Roman" w:hAnsi="Times New Roman" w:cs="Times New Roman"/>
          <w:sz w:val="24"/>
          <w:szCs w:val="24"/>
        </w:rPr>
        <w:t>Windermere</w:t>
      </w:r>
      <w:r w:rsidR="00A26CCA">
        <w:rPr>
          <w:rFonts w:ascii="Times New Roman" w:eastAsia="Times New Roman" w:hAnsi="Times New Roman" w:cs="Times New Roman"/>
          <w:sz w:val="24"/>
          <w:szCs w:val="24"/>
        </w:rPr>
        <w:t xml:space="preserve"> collected the</w:t>
      </w:r>
      <w:r w:rsidR="00A93588">
        <w:rPr>
          <w:rFonts w:ascii="Times New Roman" w:eastAsia="Times New Roman" w:hAnsi="Times New Roman" w:cs="Times New Roman"/>
          <w:sz w:val="24"/>
          <w:szCs w:val="24"/>
        </w:rPr>
        <w:t xml:space="preserve"> rate-case expense</w:t>
      </w:r>
      <w:r w:rsidR="00A26CCA">
        <w:rPr>
          <w:rFonts w:ascii="Times New Roman" w:eastAsia="Times New Roman" w:hAnsi="Times New Roman" w:cs="Times New Roman"/>
          <w:sz w:val="24"/>
          <w:szCs w:val="24"/>
        </w:rPr>
        <w:t xml:space="preserve"> surcharge </w:t>
      </w:r>
      <w:r w:rsidR="007A0B97">
        <w:rPr>
          <w:rFonts w:ascii="Times New Roman" w:eastAsia="Times New Roman" w:hAnsi="Times New Roman" w:cs="Times New Roman"/>
          <w:sz w:val="24"/>
          <w:szCs w:val="24"/>
        </w:rPr>
        <w:t>amounts</w:t>
      </w:r>
      <w:r w:rsidR="00A26CCA">
        <w:rPr>
          <w:rFonts w:ascii="Times New Roman" w:eastAsia="Times New Roman" w:hAnsi="Times New Roman" w:cs="Times New Roman"/>
          <w:sz w:val="24"/>
          <w:szCs w:val="24"/>
        </w:rPr>
        <w:t xml:space="preserve"> as well as the </w:t>
      </w:r>
      <w:r w:rsidR="00671A22">
        <w:rPr>
          <w:rFonts w:ascii="Times New Roman" w:eastAsia="Times New Roman" w:hAnsi="Times New Roman" w:cs="Times New Roman"/>
          <w:sz w:val="24"/>
          <w:szCs w:val="24"/>
        </w:rPr>
        <w:t xml:space="preserve">amount collected each month.  </w:t>
      </w:r>
      <w:r w:rsidR="00A93588">
        <w:rPr>
          <w:rFonts w:ascii="Times New Roman" w:eastAsia="Times New Roman" w:hAnsi="Times New Roman" w:cs="Times New Roman"/>
          <w:sz w:val="24"/>
          <w:szCs w:val="24"/>
        </w:rPr>
        <w:t xml:space="preserve">The reported information identifies the individual billing months over which Windermere issued water and sewer credits as well as the amounts credited each month.  </w:t>
      </w:r>
      <w:r w:rsidR="00671A22">
        <w:rPr>
          <w:rFonts w:ascii="Times New Roman" w:eastAsia="Times New Roman" w:hAnsi="Times New Roman" w:cs="Times New Roman"/>
          <w:sz w:val="24"/>
          <w:szCs w:val="24"/>
        </w:rPr>
        <w:t xml:space="preserve">I recommend that the ALJ </w:t>
      </w:r>
      <w:r w:rsidR="00782D30">
        <w:rPr>
          <w:rFonts w:ascii="Times New Roman" w:eastAsia="Times New Roman" w:hAnsi="Times New Roman" w:cs="Times New Roman"/>
          <w:sz w:val="24"/>
          <w:szCs w:val="24"/>
        </w:rPr>
        <w:t>find</w:t>
      </w:r>
      <w:r w:rsidR="00671A22">
        <w:rPr>
          <w:rFonts w:ascii="Times New Roman" w:eastAsia="Times New Roman" w:hAnsi="Times New Roman" w:cs="Times New Roman"/>
          <w:sz w:val="24"/>
          <w:szCs w:val="24"/>
        </w:rPr>
        <w:t xml:space="preserve"> Windermere</w:t>
      </w:r>
      <w:r w:rsidR="00782D30">
        <w:rPr>
          <w:rFonts w:ascii="Times New Roman" w:eastAsia="Times New Roman" w:hAnsi="Times New Roman" w:cs="Times New Roman"/>
          <w:sz w:val="24"/>
          <w:szCs w:val="24"/>
        </w:rPr>
        <w:t>’s</w:t>
      </w:r>
      <w:r w:rsidR="00671A22">
        <w:rPr>
          <w:rFonts w:ascii="Times New Roman" w:eastAsia="Times New Roman" w:hAnsi="Times New Roman" w:cs="Times New Roman"/>
          <w:sz w:val="24"/>
          <w:szCs w:val="24"/>
        </w:rPr>
        <w:t xml:space="preserve"> </w:t>
      </w:r>
      <w:r w:rsidR="00782D30">
        <w:rPr>
          <w:rFonts w:ascii="Times New Roman" w:eastAsia="Times New Roman" w:hAnsi="Times New Roman" w:cs="Times New Roman"/>
          <w:sz w:val="24"/>
          <w:szCs w:val="24"/>
        </w:rPr>
        <w:t>supplemented</w:t>
      </w:r>
      <w:r w:rsidR="00671A22">
        <w:rPr>
          <w:rFonts w:ascii="Times New Roman" w:eastAsia="Times New Roman" w:hAnsi="Times New Roman" w:cs="Times New Roman"/>
          <w:sz w:val="24"/>
          <w:szCs w:val="24"/>
        </w:rPr>
        <w:t xml:space="preserve"> initial report </w:t>
      </w:r>
      <w:r w:rsidR="00782D30">
        <w:rPr>
          <w:rFonts w:ascii="Times New Roman" w:eastAsia="Times New Roman" w:hAnsi="Times New Roman" w:cs="Times New Roman"/>
          <w:sz w:val="24"/>
          <w:szCs w:val="24"/>
        </w:rPr>
        <w:t>sufficient</w:t>
      </w:r>
      <w:r w:rsidR="00892895">
        <w:rPr>
          <w:rFonts w:ascii="Times New Roman" w:eastAsia="Times New Roman" w:hAnsi="Times New Roman" w:cs="Times New Roman"/>
          <w:sz w:val="24"/>
          <w:szCs w:val="24"/>
        </w:rPr>
        <w:t>.</w:t>
      </w:r>
      <w:r w:rsidR="00782D30">
        <w:rPr>
          <w:rFonts w:ascii="Times New Roman" w:eastAsia="Times New Roman" w:hAnsi="Times New Roman" w:cs="Times New Roman"/>
          <w:sz w:val="24"/>
          <w:szCs w:val="24"/>
        </w:rPr>
        <w:t xml:space="preserve">  I recommend that </w:t>
      </w:r>
      <w:r w:rsidR="00BF63E8">
        <w:rPr>
          <w:rFonts w:ascii="Times New Roman" w:eastAsia="Times New Roman" w:hAnsi="Times New Roman" w:cs="Times New Roman"/>
          <w:sz w:val="24"/>
          <w:szCs w:val="24"/>
        </w:rPr>
        <w:t>S</w:t>
      </w:r>
      <w:r w:rsidR="00950209" w:rsidRPr="00BC3D62">
        <w:rPr>
          <w:rFonts w:ascii="Times New Roman" w:eastAsia="Times New Roman" w:hAnsi="Times New Roman" w:cs="Times New Roman"/>
          <w:sz w:val="24"/>
          <w:szCs w:val="24"/>
        </w:rPr>
        <w:t xml:space="preserve">taff’s </w:t>
      </w:r>
      <w:r w:rsidR="00C57D94">
        <w:rPr>
          <w:rFonts w:ascii="Times New Roman" w:eastAsia="Times New Roman" w:hAnsi="Times New Roman" w:cs="Times New Roman"/>
          <w:sz w:val="24"/>
          <w:szCs w:val="24"/>
        </w:rPr>
        <w:t xml:space="preserve">continued </w:t>
      </w:r>
      <w:r w:rsidR="00950209" w:rsidRPr="00BC3D62">
        <w:rPr>
          <w:rFonts w:ascii="Times New Roman" w:eastAsia="Times New Roman" w:hAnsi="Times New Roman" w:cs="Times New Roman"/>
          <w:sz w:val="24"/>
          <w:szCs w:val="24"/>
        </w:rPr>
        <w:t>monitoring of the of th</w:t>
      </w:r>
      <w:r w:rsidR="00BF34D9">
        <w:rPr>
          <w:rFonts w:ascii="Times New Roman" w:eastAsia="Times New Roman" w:hAnsi="Times New Roman" w:cs="Times New Roman"/>
          <w:sz w:val="24"/>
          <w:szCs w:val="24"/>
        </w:rPr>
        <w:t xml:space="preserve">e </w:t>
      </w:r>
      <w:r w:rsidR="00950209" w:rsidRPr="00BC3D62">
        <w:rPr>
          <w:rFonts w:ascii="Times New Roman" w:eastAsia="Times New Roman" w:hAnsi="Times New Roman" w:cs="Times New Roman"/>
          <w:sz w:val="24"/>
          <w:szCs w:val="24"/>
        </w:rPr>
        <w:t>surcharge</w:t>
      </w:r>
      <w:r w:rsidR="00BF63E8">
        <w:rPr>
          <w:rFonts w:ascii="Times New Roman" w:eastAsia="Times New Roman" w:hAnsi="Times New Roman" w:cs="Times New Roman"/>
          <w:sz w:val="24"/>
          <w:szCs w:val="24"/>
        </w:rPr>
        <w:t xml:space="preserve"> and credit</w:t>
      </w:r>
      <w:r w:rsidR="00BF34D9" w:rsidRPr="00BF34D9">
        <w:rPr>
          <w:rFonts w:ascii="Times New Roman" w:eastAsia="Times New Roman" w:hAnsi="Times New Roman" w:cs="Times New Roman"/>
          <w:sz w:val="24"/>
          <w:szCs w:val="24"/>
        </w:rPr>
        <w:t xml:space="preserve"> information</w:t>
      </w:r>
      <w:r w:rsidR="00950209" w:rsidRPr="00BC3D62">
        <w:rPr>
          <w:rFonts w:ascii="Times New Roman" w:eastAsia="Times New Roman" w:hAnsi="Times New Roman" w:cs="Times New Roman"/>
          <w:sz w:val="24"/>
          <w:szCs w:val="24"/>
        </w:rPr>
        <w:t xml:space="preserve"> is in the public interest.</w:t>
      </w:r>
    </w:p>
    <w:p w14:paraId="7EAE8D4A" w14:textId="77777777" w:rsidR="005E2EE9" w:rsidRPr="00BC3D62" w:rsidRDefault="005E2EE9" w:rsidP="00193631">
      <w:pPr>
        <w:widowControl w:val="0"/>
        <w:autoSpaceDE w:val="0"/>
        <w:autoSpaceDN w:val="0"/>
        <w:adjustRightInd w:val="0"/>
        <w:spacing w:before="120" w:after="0" w:line="240" w:lineRule="auto"/>
        <w:jc w:val="both"/>
        <w:rPr>
          <w:rFonts w:ascii="Times New Roman" w:eastAsia="Times New Roman" w:hAnsi="Times New Roman" w:cs="Times New Roman"/>
          <w:sz w:val="24"/>
          <w:szCs w:val="24"/>
        </w:rPr>
      </w:pPr>
    </w:p>
    <w:p w14:paraId="6C242325" w14:textId="4165426B" w:rsidR="00E81E40" w:rsidRDefault="00E81E40" w:rsidP="00740ACD">
      <w:pPr>
        <w:spacing w:after="0" w:line="240" w:lineRule="auto"/>
        <w:jc w:val="both"/>
        <w:rPr>
          <w:rFonts w:ascii="Times New Roman" w:hAnsi="Times New Roman" w:cs="Times New Roman"/>
          <w:sz w:val="24"/>
          <w:szCs w:val="24"/>
        </w:rPr>
      </w:pPr>
    </w:p>
    <w:sectPr w:rsidR="00E81E40" w:rsidSect="00B22DBE">
      <w:headerReference w:type="even" r:id="rId8"/>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63024" w14:textId="77777777" w:rsidR="00AC3A45" w:rsidRDefault="00AC3A45" w:rsidP="00275909">
      <w:pPr>
        <w:spacing w:after="0" w:line="240" w:lineRule="auto"/>
      </w:pPr>
      <w:r>
        <w:separator/>
      </w:r>
    </w:p>
  </w:endnote>
  <w:endnote w:type="continuationSeparator" w:id="0">
    <w:p w14:paraId="188FC6FE" w14:textId="77777777" w:rsidR="00AC3A45" w:rsidRDefault="00AC3A45" w:rsidP="00275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D6A4A" w14:textId="77777777" w:rsidR="00AC3A45" w:rsidRDefault="00AC3A45" w:rsidP="00275909">
      <w:pPr>
        <w:spacing w:after="0" w:line="240" w:lineRule="auto"/>
      </w:pPr>
      <w:r>
        <w:separator/>
      </w:r>
    </w:p>
  </w:footnote>
  <w:footnote w:type="continuationSeparator" w:id="0">
    <w:p w14:paraId="0B4D542E" w14:textId="77777777" w:rsidR="00AC3A45" w:rsidRDefault="00AC3A45" w:rsidP="00275909">
      <w:pPr>
        <w:spacing w:after="0" w:line="240" w:lineRule="auto"/>
      </w:pPr>
      <w:r>
        <w:continuationSeparator/>
      </w:r>
    </w:p>
  </w:footnote>
  <w:footnote w:id="1">
    <w:p w14:paraId="7298BB0F" w14:textId="0F0DB8B1" w:rsidR="00950209" w:rsidRDefault="00950209" w:rsidP="00950209">
      <w:pPr>
        <w:pStyle w:val="FootnoteText"/>
        <w:spacing w:before="120"/>
        <w:ind w:firstLine="720"/>
        <w:jc w:val="both"/>
      </w:pPr>
      <w:r>
        <w:rPr>
          <w:rStyle w:val="FootnoteReference"/>
        </w:rPr>
        <w:footnoteRef/>
      </w:r>
      <w:r>
        <w:t xml:space="preserve">  </w:t>
      </w:r>
      <w:r w:rsidR="009321FB">
        <w:rPr>
          <w:rFonts w:ascii="Times New Roman" w:hAnsi="Times New Roman" w:cs="Times New Roman"/>
          <w:i/>
          <w:iCs/>
        </w:rPr>
        <w:t>Ratepayers Appeal of the Decision by Windermere Oaks Water Supply Corporation to Change Water and Sewer</w:t>
      </w:r>
      <w:r w:rsidRPr="004C4495">
        <w:rPr>
          <w:rFonts w:ascii="Times New Roman" w:hAnsi="Times New Roman" w:cs="Times New Roman"/>
          <w:i/>
          <w:iCs/>
        </w:rPr>
        <w:t xml:space="preserve"> Rates</w:t>
      </w:r>
      <w:r w:rsidRPr="004C4495">
        <w:rPr>
          <w:rFonts w:ascii="Times New Roman" w:hAnsi="Times New Roman" w:cs="Times New Roman"/>
        </w:rPr>
        <w:t xml:space="preserve">, Docket No. </w:t>
      </w:r>
      <w:r w:rsidR="003238F6">
        <w:rPr>
          <w:rFonts w:ascii="Times New Roman" w:hAnsi="Times New Roman" w:cs="Times New Roman"/>
        </w:rPr>
        <w:t>507</w:t>
      </w:r>
      <w:r w:rsidR="009321FB">
        <w:rPr>
          <w:rFonts w:ascii="Times New Roman" w:hAnsi="Times New Roman" w:cs="Times New Roman"/>
        </w:rPr>
        <w:t>88</w:t>
      </w:r>
      <w:r w:rsidR="003238F6">
        <w:rPr>
          <w:rFonts w:ascii="Times New Roman" w:hAnsi="Times New Roman" w:cs="Times New Roman"/>
        </w:rPr>
        <w:t>,</w:t>
      </w:r>
      <w:r w:rsidRPr="004C4495">
        <w:rPr>
          <w:rFonts w:ascii="Times New Roman" w:hAnsi="Times New Roman" w:cs="Times New Roman"/>
        </w:rPr>
        <w:t xml:space="preserve"> Order at Ordering Paragraph </w:t>
      </w:r>
      <w:r w:rsidR="0004446C">
        <w:rPr>
          <w:rFonts w:ascii="Times New Roman" w:hAnsi="Times New Roman" w:cs="Times New Roman"/>
        </w:rPr>
        <w:t>5</w:t>
      </w:r>
      <w:r w:rsidRPr="004C4495">
        <w:rPr>
          <w:rFonts w:ascii="Times New Roman" w:hAnsi="Times New Roman" w:cs="Times New Roman"/>
        </w:rPr>
        <w:t xml:space="preserve"> (</w:t>
      </w:r>
      <w:r w:rsidR="0004446C">
        <w:rPr>
          <w:rFonts w:ascii="Times New Roman" w:hAnsi="Times New Roman" w:cs="Times New Roman"/>
        </w:rPr>
        <w:t>Mar. 21, 2024</w:t>
      </w:r>
      <w:r w:rsidRPr="004C4495">
        <w:rPr>
          <w:rFonts w:ascii="Times New Roman" w:hAnsi="Times New Roman" w:cs="Times New Roman"/>
        </w:rPr>
        <w:t>).</w:t>
      </w:r>
    </w:p>
  </w:footnote>
  <w:footnote w:id="2">
    <w:p w14:paraId="2DE9DC15" w14:textId="5201B4FD" w:rsidR="000A1660" w:rsidRPr="000A1660" w:rsidRDefault="000A1660" w:rsidP="00FC2437">
      <w:pPr>
        <w:pStyle w:val="FootnoteText"/>
        <w:spacing w:before="120" w:after="120"/>
        <w:ind w:firstLine="720"/>
        <w:jc w:val="both"/>
        <w:rPr>
          <w:rFonts w:ascii="Times New Roman" w:hAnsi="Times New Roman" w:cs="Times New Roman"/>
        </w:rPr>
      </w:pPr>
      <w:r w:rsidRPr="000A1660">
        <w:rPr>
          <w:rStyle w:val="FootnoteReference"/>
          <w:rFonts w:ascii="Times New Roman" w:hAnsi="Times New Roman" w:cs="Times New Roman"/>
        </w:rPr>
        <w:footnoteRef/>
      </w:r>
      <w:r w:rsidRPr="000A1660">
        <w:rPr>
          <w:rFonts w:ascii="Times New Roman" w:hAnsi="Times New Roman" w:cs="Times New Roman"/>
        </w:rPr>
        <w:t xml:space="preserve">  </w:t>
      </w:r>
      <w:r w:rsidRPr="000A1660">
        <w:rPr>
          <w:rFonts w:ascii="Times New Roman" w:hAnsi="Times New Roman" w:cs="Times New Roman"/>
          <w:i/>
          <w:iCs/>
        </w:rPr>
        <w:t xml:space="preserve">Id. </w:t>
      </w:r>
      <w:r w:rsidRPr="000A1660">
        <w:rPr>
          <w:rFonts w:ascii="Times New Roman" w:hAnsi="Times New Roman" w:cs="Times New Roman"/>
        </w:rPr>
        <w:t xml:space="preserve">at Ordering Paragraph </w:t>
      </w:r>
      <w:r w:rsidR="00BB7002">
        <w:rPr>
          <w:rFonts w:ascii="Times New Roman" w:hAnsi="Times New Roman" w:cs="Times New Roman"/>
        </w:rPr>
        <w:t>4</w:t>
      </w:r>
      <w:r w:rsidRPr="000A1660">
        <w:rPr>
          <w:rFonts w:ascii="Times New Roman" w:hAnsi="Times New Roman" w:cs="Times New Roman"/>
        </w:rPr>
        <w:t>.</w:t>
      </w:r>
    </w:p>
  </w:footnote>
  <w:footnote w:id="3">
    <w:p w14:paraId="028BB044" w14:textId="248DB2B4" w:rsidR="004E650A" w:rsidRPr="004E650A" w:rsidRDefault="004E650A" w:rsidP="004E650A">
      <w:pPr>
        <w:pStyle w:val="FootnoteText"/>
        <w:ind w:firstLine="720"/>
        <w:rPr>
          <w:rFonts w:ascii="Times New Roman" w:hAnsi="Times New Roman" w:cs="Times New Roman"/>
        </w:rPr>
      </w:pPr>
      <w:r w:rsidRPr="004E650A">
        <w:rPr>
          <w:rStyle w:val="FootnoteReference"/>
          <w:rFonts w:ascii="Times New Roman" w:hAnsi="Times New Roman" w:cs="Times New Roman"/>
        </w:rPr>
        <w:footnoteRef/>
      </w:r>
      <w:r w:rsidRPr="004E650A">
        <w:rPr>
          <w:rFonts w:ascii="Times New Roman" w:hAnsi="Times New Roman" w:cs="Times New Roman"/>
        </w:rPr>
        <w:t xml:space="preserve">  </w:t>
      </w:r>
      <w:r w:rsidRPr="004E650A">
        <w:rPr>
          <w:rFonts w:ascii="Times New Roman" w:hAnsi="Times New Roman" w:cs="Times New Roman"/>
          <w:i/>
          <w:iCs/>
        </w:rPr>
        <w:t xml:space="preserve">Id. </w:t>
      </w:r>
      <w:r w:rsidRPr="004E650A">
        <w:rPr>
          <w:rFonts w:ascii="Times New Roman" w:hAnsi="Times New Roman" w:cs="Times New Roman"/>
        </w:rPr>
        <w:t>at Ordering Paragraph 3.</w:t>
      </w:r>
    </w:p>
  </w:footnote>
  <w:footnote w:id="4">
    <w:p w14:paraId="6BD2DE49" w14:textId="1F7AF693" w:rsidR="000971AC" w:rsidRPr="008C3AB6" w:rsidRDefault="000971AC" w:rsidP="00902680">
      <w:pPr>
        <w:pStyle w:val="FootnoteText"/>
        <w:spacing w:before="120"/>
        <w:ind w:firstLine="720"/>
        <w:jc w:val="both"/>
        <w:rPr>
          <w:rFonts w:ascii="Times New Roman" w:hAnsi="Times New Roman" w:cs="Times New Roman"/>
          <w:iCs/>
        </w:rPr>
      </w:pPr>
      <w:r>
        <w:rPr>
          <w:rStyle w:val="FootnoteReference"/>
        </w:rPr>
        <w:footnoteRef/>
      </w:r>
      <w:r>
        <w:t xml:space="preserve">  </w:t>
      </w:r>
      <w:r>
        <w:rPr>
          <w:rFonts w:ascii="Times New Roman" w:hAnsi="Times New Roman" w:cs="Times New Roman"/>
          <w:i/>
        </w:rPr>
        <w:t>Id.</w:t>
      </w:r>
      <w:r>
        <w:rPr>
          <w:rFonts w:ascii="Times New Roman" w:hAnsi="Times New Roman" w:cs="Times New Roman"/>
          <w:iCs/>
        </w:rPr>
        <w:t xml:space="preserve"> at Ordering Paragraph 4.</w:t>
      </w:r>
    </w:p>
  </w:footnote>
  <w:footnote w:id="5">
    <w:p w14:paraId="6518A1FD" w14:textId="37DADE5A" w:rsidR="000971AC" w:rsidRPr="009C3DF8" w:rsidRDefault="000971AC" w:rsidP="005006D2">
      <w:pPr>
        <w:pStyle w:val="FootnoteText"/>
        <w:spacing w:before="120" w:after="120"/>
        <w:ind w:firstLine="720"/>
        <w:jc w:val="both"/>
        <w:rPr>
          <w:rFonts w:ascii="Times New Roman" w:hAnsi="Times New Roman" w:cs="Times New Roman"/>
        </w:rPr>
      </w:pPr>
      <w:r w:rsidRPr="00B80D80">
        <w:rPr>
          <w:rStyle w:val="FootnoteReference"/>
          <w:rFonts w:ascii="Times New Roman" w:hAnsi="Times New Roman" w:cs="Times New Roman"/>
        </w:rPr>
        <w:footnoteRef/>
      </w:r>
      <w:r w:rsidRPr="00B80D80">
        <w:rPr>
          <w:rFonts w:ascii="Times New Roman" w:hAnsi="Times New Roman" w:cs="Times New Roman"/>
        </w:rPr>
        <w:t xml:space="preserve">  Windermere’s PUC Docket No. 56272 Compliance Report (</w:t>
      </w:r>
      <w:r>
        <w:rPr>
          <w:rFonts w:ascii="Times New Roman" w:hAnsi="Times New Roman" w:cs="Times New Roman"/>
        </w:rPr>
        <w:t xml:space="preserve">Aug. </w:t>
      </w:r>
      <w:r w:rsidRPr="00B80D80">
        <w:rPr>
          <w:rFonts w:ascii="Times New Roman" w:hAnsi="Times New Roman" w:cs="Times New Roman"/>
        </w:rPr>
        <w:t>1</w:t>
      </w:r>
      <w:r>
        <w:rPr>
          <w:rFonts w:ascii="Times New Roman" w:hAnsi="Times New Roman" w:cs="Times New Roman"/>
        </w:rPr>
        <w:t>4</w:t>
      </w:r>
      <w:r w:rsidRPr="00B80D80">
        <w:rPr>
          <w:rFonts w:ascii="Times New Roman" w:hAnsi="Times New Roman" w:cs="Times New Roman"/>
        </w:rPr>
        <w:t>, 2024).</w:t>
      </w:r>
    </w:p>
  </w:footnote>
  <w:footnote w:id="6">
    <w:p w14:paraId="4E86C991" w14:textId="4E080615" w:rsidR="005006D2" w:rsidRPr="005006D2" w:rsidRDefault="005006D2" w:rsidP="005006D2">
      <w:pPr>
        <w:pStyle w:val="FootnoteText"/>
        <w:ind w:firstLine="720"/>
        <w:jc w:val="both"/>
        <w:rPr>
          <w:rFonts w:ascii="Times New Roman" w:hAnsi="Times New Roman" w:cs="Times New Roman"/>
        </w:rPr>
      </w:pPr>
      <w:r>
        <w:rPr>
          <w:rStyle w:val="FootnoteReference"/>
        </w:rPr>
        <w:footnoteRef/>
      </w:r>
      <w:r>
        <w:t xml:space="preserve">  </w:t>
      </w:r>
      <w:r w:rsidRPr="005006D2">
        <w:rPr>
          <w:rFonts w:ascii="Times New Roman" w:hAnsi="Times New Roman" w:cs="Times New Roman"/>
        </w:rPr>
        <w:t xml:space="preserve">Docket No. 50788, Order at </w:t>
      </w:r>
      <w:r w:rsidR="008A443A">
        <w:rPr>
          <w:rFonts w:ascii="Times New Roman" w:hAnsi="Times New Roman" w:cs="Times New Roman"/>
        </w:rPr>
        <w:t>Ordering Paragraph 3</w:t>
      </w:r>
      <w:r w:rsidRPr="005006D2">
        <w:rPr>
          <w:rFonts w:ascii="Times New Roman" w:hAnsi="Times New Roman" w:cs="Times New Roman"/>
        </w:rPr>
        <w:t>.</w:t>
      </w:r>
    </w:p>
  </w:footnote>
  <w:footnote w:id="7">
    <w:p w14:paraId="3B1EA03B" w14:textId="578ED2B6" w:rsidR="00B41A49" w:rsidRPr="008C3AB6" w:rsidRDefault="00B41A49" w:rsidP="00145CF2">
      <w:pPr>
        <w:pStyle w:val="FootnoteText"/>
        <w:spacing w:before="120"/>
        <w:ind w:firstLine="720"/>
        <w:jc w:val="both"/>
        <w:rPr>
          <w:rFonts w:ascii="Times New Roman" w:hAnsi="Times New Roman" w:cs="Times New Roman"/>
          <w:iCs/>
        </w:rPr>
      </w:pPr>
      <w:r>
        <w:rPr>
          <w:rStyle w:val="FootnoteReference"/>
        </w:rPr>
        <w:footnoteRef/>
      </w:r>
      <w:r>
        <w:t xml:space="preserve">  </w:t>
      </w:r>
      <w:r>
        <w:rPr>
          <w:rFonts w:ascii="Times New Roman" w:hAnsi="Times New Roman" w:cs="Times New Roman"/>
          <w:i/>
        </w:rPr>
        <w:t>Id.</w:t>
      </w:r>
    </w:p>
  </w:footnote>
  <w:footnote w:id="8">
    <w:p w14:paraId="20F5CA4E" w14:textId="77777777" w:rsidR="00B41A49" w:rsidRPr="009C3DF8" w:rsidRDefault="00B41A49" w:rsidP="00145CF2">
      <w:pPr>
        <w:pStyle w:val="FootnoteText"/>
        <w:spacing w:before="120" w:after="120"/>
        <w:ind w:firstLine="720"/>
        <w:jc w:val="both"/>
        <w:rPr>
          <w:rFonts w:ascii="Times New Roman" w:hAnsi="Times New Roman" w:cs="Times New Roman"/>
        </w:rPr>
      </w:pPr>
      <w:r w:rsidRPr="00B80D80">
        <w:rPr>
          <w:rStyle w:val="FootnoteReference"/>
          <w:rFonts w:ascii="Times New Roman" w:hAnsi="Times New Roman" w:cs="Times New Roman"/>
        </w:rPr>
        <w:footnoteRef/>
      </w:r>
      <w:r w:rsidRPr="00B80D80">
        <w:rPr>
          <w:rFonts w:ascii="Times New Roman" w:hAnsi="Times New Roman" w:cs="Times New Roman"/>
        </w:rPr>
        <w:t xml:space="preserve">  Windermere’s PUC Docket No. 56272 Compliance Report (</w:t>
      </w:r>
      <w:r>
        <w:rPr>
          <w:rFonts w:ascii="Times New Roman" w:hAnsi="Times New Roman" w:cs="Times New Roman"/>
        </w:rPr>
        <w:t xml:space="preserve">Aug. </w:t>
      </w:r>
      <w:r w:rsidRPr="00B80D80">
        <w:rPr>
          <w:rFonts w:ascii="Times New Roman" w:hAnsi="Times New Roman" w:cs="Times New Roman"/>
        </w:rPr>
        <w:t>1</w:t>
      </w:r>
      <w:r>
        <w:rPr>
          <w:rFonts w:ascii="Times New Roman" w:hAnsi="Times New Roman" w:cs="Times New Roman"/>
        </w:rPr>
        <w:t>4</w:t>
      </w:r>
      <w:r w:rsidRPr="00B80D80">
        <w:rPr>
          <w:rFonts w:ascii="Times New Roman" w:hAnsi="Times New Roman" w:cs="Times New Roman"/>
        </w:rPr>
        <w:t>, 2024).</w:t>
      </w:r>
    </w:p>
  </w:footnote>
  <w:footnote w:id="9">
    <w:p w14:paraId="539946A6" w14:textId="64A7C972" w:rsidR="00B41A49" w:rsidRPr="00B41A49" w:rsidRDefault="00B41A49" w:rsidP="00B41A49">
      <w:pPr>
        <w:pStyle w:val="FootnoteText"/>
        <w:ind w:firstLine="720"/>
        <w:rPr>
          <w:rFonts w:ascii="Times New Roman" w:hAnsi="Times New Roman" w:cs="Times New Roman"/>
          <w:i/>
          <w:iCs/>
        </w:rPr>
      </w:pPr>
      <w:r w:rsidRPr="00B41A49">
        <w:rPr>
          <w:rStyle w:val="FootnoteReference"/>
          <w:rFonts w:ascii="Times New Roman" w:hAnsi="Times New Roman" w:cs="Times New Roman"/>
        </w:rPr>
        <w:footnoteRef/>
      </w:r>
      <w:r w:rsidRPr="00B41A49">
        <w:rPr>
          <w:rFonts w:ascii="Times New Roman" w:hAnsi="Times New Roman" w:cs="Times New Roman"/>
        </w:rPr>
        <w:t xml:space="preserve">  </w:t>
      </w:r>
      <w:r w:rsidRPr="00B41A49">
        <w:rPr>
          <w:rFonts w:ascii="Times New Roman" w:hAnsi="Times New Roman" w:cs="Times New Roman"/>
          <w:i/>
          <w:iCs/>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52CBE" w14:textId="32B08F23" w:rsidR="00B22DBE" w:rsidRPr="00A067E1" w:rsidRDefault="00B22DBE" w:rsidP="00B22DBE">
    <w:pPr>
      <w:pStyle w:val="Header"/>
      <w:spacing w:after="120"/>
      <w:jc w:val="both"/>
      <w:rPr>
        <w:rFonts w:ascii="Times New Roman" w:hAnsi="Times New Roman" w:cs="Times New Roman"/>
        <w:sz w:val="20"/>
        <w:szCs w:val="20"/>
      </w:rPr>
    </w:pPr>
    <w:r w:rsidRPr="00A067E1">
      <w:rPr>
        <w:rFonts w:ascii="Times New Roman" w:hAnsi="Times New Roman" w:cs="Times New Roman"/>
        <w:sz w:val="20"/>
        <w:szCs w:val="20"/>
      </w:rPr>
      <w:t>Docket No. 5</w:t>
    </w:r>
    <w:r w:rsidR="000D71B7">
      <w:rPr>
        <w:rFonts w:ascii="Times New Roman" w:hAnsi="Times New Roman" w:cs="Times New Roman"/>
        <w:sz w:val="20"/>
        <w:szCs w:val="20"/>
      </w:rPr>
      <w:t>6272</w:t>
    </w:r>
    <w:r w:rsidRPr="00A067E1">
      <w:rPr>
        <w:rFonts w:ascii="Times New Roman" w:hAnsi="Times New Roman" w:cs="Times New Roman"/>
        <w:sz w:val="20"/>
        <w:szCs w:val="20"/>
      </w:rPr>
      <w:tab/>
      <w:t>Memorandum of Anna Givens (</w:t>
    </w:r>
    <w:r w:rsidR="007A0578">
      <w:rPr>
        <w:rFonts w:ascii="Times New Roman" w:hAnsi="Times New Roman" w:cs="Times New Roman"/>
        <w:sz w:val="20"/>
        <w:szCs w:val="20"/>
      </w:rPr>
      <w:t xml:space="preserve">September </w:t>
    </w:r>
    <w:r w:rsidR="000D71B7">
      <w:rPr>
        <w:rFonts w:ascii="Times New Roman" w:hAnsi="Times New Roman" w:cs="Times New Roman"/>
        <w:sz w:val="20"/>
        <w:szCs w:val="20"/>
      </w:rPr>
      <w:t>6</w:t>
    </w:r>
    <w:r w:rsidRPr="00A067E1">
      <w:rPr>
        <w:rFonts w:ascii="Times New Roman" w:hAnsi="Times New Roman" w:cs="Times New Roman"/>
        <w:sz w:val="20"/>
        <w:szCs w:val="20"/>
      </w:rPr>
      <w:t>, 202</w:t>
    </w:r>
    <w:r w:rsidR="00BF51ED">
      <w:rPr>
        <w:rFonts w:ascii="Times New Roman" w:hAnsi="Times New Roman" w:cs="Times New Roman"/>
        <w:sz w:val="20"/>
        <w:szCs w:val="20"/>
      </w:rPr>
      <w:t>4</w:t>
    </w:r>
    <w:r w:rsidRPr="00A067E1">
      <w:rPr>
        <w:rFonts w:ascii="Times New Roman" w:hAnsi="Times New Roman" w:cs="Times New Roman"/>
        <w:sz w:val="20"/>
        <w:szCs w:val="20"/>
      </w:rPr>
      <w:t>)</w:t>
    </w:r>
    <w:r w:rsidRPr="00A067E1">
      <w:rPr>
        <w:rFonts w:ascii="Times New Roman" w:hAnsi="Times New Roman" w:cs="Times New Roman"/>
        <w:sz w:val="20"/>
        <w:szCs w:val="20"/>
      </w:rPr>
      <w:tab/>
      <w:t xml:space="preserve">Page </w:t>
    </w:r>
    <w:r>
      <w:rPr>
        <w:rFonts w:ascii="Times New Roman" w:hAnsi="Times New Roman" w:cs="Times New Roman"/>
        <w:sz w:val="20"/>
        <w:szCs w:val="20"/>
      </w:rPr>
      <w:t>2</w:t>
    </w:r>
    <w:r w:rsidRPr="00A067E1">
      <w:rPr>
        <w:rFonts w:ascii="Times New Roman" w:hAnsi="Times New Roman" w:cs="Times New Roman"/>
        <w:sz w:val="20"/>
        <w:szCs w:val="20"/>
      </w:rPr>
      <w:t xml:space="preserve"> of </w:t>
    </w:r>
    <w:r w:rsidR="00014316">
      <w:rPr>
        <w:rFonts w:ascii="Times New Roman" w:hAnsi="Times New Roman" w:cs="Times New Roman"/>
        <w:sz w:val="20"/>
        <w:szCs w:val="20"/>
      </w:rPr>
      <w:t>2</w:t>
    </w:r>
  </w:p>
  <w:p w14:paraId="218ACF83" w14:textId="77777777" w:rsidR="00B22DBE" w:rsidRDefault="00B22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6A71" w14:textId="718F6FBC" w:rsidR="00A067E1" w:rsidRPr="00A067E1" w:rsidRDefault="00A067E1" w:rsidP="00A067E1">
    <w:pPr>
      <w:pStyle w:val="Header"/>
      <w:spacing w:after="120"/>
      <w:jc w:val="both"/>
      <w:rPr>
        <w:rFonts w:ascii="Times New Roman" w:hAnsi="Times New Roman" w:cs="Times New Roman"/>
        <w:sz w:val="20"/>
        <w:szCs w:val="20"/>
      </w:rPr>
    </w:pPr>
    <w:r w:rsidRPr="00A067E1">
      <w:rPr>
        <w:rFonts w:ascii="Times New Roman" w:hAnsi="Times New Roman" w:cs="Times New Roman"/>
        <w:sz w:val="20"/>
        <w:szCs w:val="20"/>
      </w:rPr>
      <w:t>Docket No. 52558</w:t>
    </w:r>
    <w:r w:rsidRPr="00A067E1">
      <w:rPr>
        <w:rFonts w:ascii="Times New Roman" w:hAnsi="Times New Roman" w:cs="Times New Roman"/>
        <w:sz w:val="20"/>
        <w:szCs w:val="20"/>
      </w:rPr>
      <w:tab/>
      <w:t>Memorandum of Anna Givens (</w:t>
    </w:r>
    <w:r w:rsidR="00166B06">
      <w:rPr>
        <w:rFonts w:ascii="Times New Roman" w:hAnsi="Times New Roman" w:cs="Times New Roman"/>
        <w:sz w:val="20"/>
        <w:szCs w:val="20"/>
      </w:rPr>
      <w:t xml:space="preserve">September </w:t>
    </w:r>
    <w:r w:rsidR="00D42ADE">
      <w:rPr>
        <w:rFonts w:ascii="Times New Roman" w:hAnsi="Times New Roman" w:cs="Times New Roman"/>
        <w:sz w:val="20"/>
        <w:szCs w:val="20"/>
      </w:rPr>
      <w:t>23</w:t>
    </w:r>
    <w:r w:rsidRPr="00A067E1">
      <w:rPr>
        <w:rFonts w:ascii="Times New Roman" w:hAnsi="Times New Roman" w:cs="Times New Roman"/>
        <w:sz w:val="20"/>
        <w:szCs w:val="20"/>
      </w:rPr>
      <w:t>, 2022)</w:t>
    </w:r>
    <w:r w:rsidRPr="00A067E1">
      <w:rPr>
        <w:rFonts w:ascii="Times New Roman" w:hAnsi="Times New Roman" w:cs="Times New Roman"/>
        <w:sz w:val="20"/>
        <w:szCs w:val="20"/>
      </w:rPr>
      <w:tab/>
      <w:t xml:space="preserve">Page </w:t>
    </w:r>
    <w:r w:rsidR="00B22DBE">
      <w:rPr>
        <w:rFonts w:ascii="Times New Roman" w:hAnsi="Times New Roman" w:cs="Times New Roman"/>
        <w:sz w:val="20"/>
        <w:szCs w:val="20"/>
      </w:rPr>
      <w:t>3</w:t>
    </w:r>
    <w:r w:rsidRPr="00A067E1">
      <w:rPr>
        <w:rFonts w:ascii="Times New Roman" w:hAnsi="Times New Roman" w:cs="Times New Roman"/>
        <w:sz w:val="20"/>
        <w:szCs w:val="20"/>
      </w:rPr>
      <w:t xml:space="preserve"> of </w:t>
    </w:r>
    <w:r w:rsidR="00B22DBE">
      <w:rPr>
        <w:rFonts w:ascii="Times New Roman" w:hAnsi="Times New Roman" w:cs="Times New Roman"/>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6A3B"/>
    <w:multiLevelType w:val="hybridMultilevel"/>
    <w:tmpl w:val="8DEC0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60715"/>
    <w:multiLevelType w:val="hybridMultilevel"/>
    <w:tmpl w:val="A7B692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0F4733"/>
    <w:multiLevelType w:val="hybridMultilevel"/>
    <w:tmpl w:val="5E44B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11DB9"/>
    <w:multiLevelType w:val="hybridMultilevel"/>
    <w:tmpl w:val="F8927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817689"/>
    <w:multiLevelType w:val="multilevel"/>
    <w:tmpl w:val="560A5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1541F"/>
    <w:multiLevelType w:val="hybridMultilevel"/>
    <w:tmpl w:val="898E7658"/>
    <w:lvl w:ilvl="0" w:tplc="FD042298">
      <w:start w:val="1"/>
      <w:numFmt w:val="decimal"/>
      <w:lvlText w:val="%1&gt;"/>
      <w:lvlJc w:val="left"/>
      <w:pPr>
        <w:ind w:left="720" w:hanging="360"/>
      </w:pPr>
      <w:rPr>
        <w:rFonts w:ascii="Georgia" w:eastAsiaTheme="minorHAnsi" w:hAnsi="Georgia"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27BB8"/>
    <w:multiLevelType w:val="hybridMultilevel"/>
    <w:tmpl w:val="924A9808"/>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0C9015A"/>
    <w:multiLevelType w:val="hybridMultilevel"/>
    <w:tmpl w:val="7E1217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6300C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FAC564A"/>
    <w:multiLevelType w:val="hybridMultilevel"/>
    <w:tmpl w:val="329E4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959A1"/>
    <w:multiLevelType w:val="hybridMultilevel"/>
    <w:tmpl w:val="9378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9E33B6"/>
    <w:multiLevelType w:val="hybridMultilevel"/>
    <w:tmpl w:val="A638454C"/>
    <w:lvl w:ilvl="0" w:tplc="DE4C9F7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019042">
    <w:abstractNumId w:val="1"/>
  </w:num>
  <w:num w:numId="2" w16cid:durableId="365182536">
    <w:abstractNumId w:val="2"/>
  </w:num>
  <w:num w:numId="3" w16cid:durableId="2143233070">
    <w:abstractNumId w:val="7"/>
  </w:num>
  <w:num w:numId="4" w16cid:durableId="308829383">
    <w:abstractNumId w:val="12"/>
  </w:num>
  <w:num w:numId="5" w16cid:durableId="1320616950">
    <w:abstractNumId w:val="6"/>
  </w:num>
  <w:num w:numId="6" w16cid:durableId="111366020">
    <w:abstractNumId w:val="11"/>
  </w:num>
  <w:num w:numId="7" w16cid:durableId="1042902963">
    <w:abstractNumId w:val="4"/>
  </w:num>
  <w:num w:numId="8" w16cid:durableId="1488862558">
    <w:abstractNumId w:val="13"/>
  </w:num>
  <w:num w:numId="9" w16cid:durableId="171994539">
    <w:abstractNumId w:val="8"/>
  </w:num>
  <w:num w:numId="10" w16cid:durableId="1490370333">
    <w:abstractNumId w:val="3"/>
  </w:num>
  <w:num w:numId="11" w16cid:durableId="1123769615">
    <w:abstractNumId w:val="9"/>
  </w:num>
  <w:num w:numId="12" w16cid:durableId="1955670176">
    <w:abstractNumId w:val="10"/>
  </w:num>
  <w:num w:numId="13" w16cid:durableId="300423342">
    <w:abstractNumId w:val="5"/>
  </w:num>
  <w:num w:numId="14" w16cid:durableId="1058747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909"/>
    <w:rsid w:val="00001207"/>
    <w:rsid w:val="00003611"/>
    <w:rsid w:val="00006D1D"/>
    <w:rsid w:val="00014316"/>
    <w:rsid w:val="00020979"/>
    <w:rsid w:val="000222C5"/>
    <w:rsid w:val="00023241"/>
    <w:rsid w:val="00027F07"/>
    <w:rsid w:val="000318CC"/>
    <w:rsid w:val="000348BA"/>
    <w:rsid w:val="00040079"/>
    <w:rsid w:val="00041A8A"/>
    <w:rsid w:val="0004446C"/>
    <w:rsid w:val="00046355"/>
    <w:rsid w:val="000653EF"/>
    <w:rsid w:val="00065B81"/>
    <w:rsid w:val="00066692"/>
    <w:rsid w:val="00066F4D"/>
    <w:rsid w:val="00067AF4"/>
    <w:rsid w:val="000720A1"/>
    <w:rsid w:val="000778B2"/>
    <w:rsid w:val="00090BB4"/>
    <w:rsid w:val="00094490"/>
    <w:rsid w:val="000965BC"/>
    <w:rsid w:val="00096654"/>
    <w:rsid w:val="000968B0"/>
    <w:rsid w:val="000971AC"/>
    <w:rsid w:val="000A1660"/>
    <w:rsid w:val="000A4523"/>
    <w:rsid w:val="000A4E72"/>
    <w:rsid w:val="000A67C9"/>
    <w:rsid w:val="000B6758"/>
    <w:rsid w:val="000C2E8F"/>
    <w:rsid w:val="000D158B"/>
    <w:rsid w:val="000D2DFA"/>
    <w:rsid w:val="000D5E47"/>
    <w:rsid w:val="000D71B7"/>
    <w:rsid w:val="000E7FC1"/>
    <w:rsid w:val="000F5A8F"/>
    <w:rsid w:val="00100D47"/>
    <w:rsid w:val="00111789"/>
    <w:rsid w:val="00111EE9"/>
    <w:rsid w:val="00113086"/>
    <w:rsid w:val="00121D2E"/>
    <w:rsid w:val="0012463E"/>
    <w:rsid w:val="00127A83"/>
    <w:rsid w:val="001308B1"/>
    <w:rsid w:val="00144BAF"/>
    <w:rsid w:val="00145BEA"/>
    <w:rsid w:val="00145CF2"/>
    <w:rsid w:val="00162A57"/>
    <w:rsid w:val="00162BC2"/>
    <w:rsid w:val="00166B06"/>
    <w:rsid w:val="001864E9"/>
    <w:rsid w:val="00186E79"/>
    <w:rsid w:val="00191DF2"/>
    <w:rsid w:val="00193631"/>
    <w:rsid w:val="00195B38"/>
    <w:rsid w:val="001A0760"/>
    <w:rsid w:val="001A2C84"/>
    <w:rsid w:val="001A595F"/>
    <w:rsid w:val="001A6795"/>
    <w:rsid w:val="001A6BBC"/>
    <w:rsid w:val="001A7639"/>
    <w:rsid w:val="001B2930"/>
    <w:rsid w:val="001B5C84"/>
    <w:rsid w:val="001B6B9A"/>
    <w:rsid w:val="001B7C3B"/>
    <w:rsid w:val="001C0153"/>
    <w:rsid w:val="001C369E"/>
    <w:rsid w:val="001C3905"/>
    <w:rsid w:val="001C5079"/>
    <w:rsid w:val="001D0DC4"/>
    <w:rsid w:val="001D713D"/>
    <w:rsid w:val="001E34BE"/>
    <w:rsid w:val="001E423A"/>
    <w:rsid w:val="001E5BE5"/>
    <w:rsid w:val="001F21B9"/>
    <w:rsid w:val="001F504D"/>
    <w:rsid w:val="00200048"/>
    <w:rsid w:val="00213BFE"/>
    <w:rsid w:val="00215EED"/>
    <w:rsid w:val="00225AE1"/>
    <w:rsid w:val="002303E0"/>
    <w:rsid w:val="00231C7C"/>
    <w:rsid w:val="00234252"/>
    <w:rsid w:val="00237AD5"/>
    <w:rsid w:val="00241BE0"/>
    <w:rsid w:val="00242731"/>
    <w:rsid w:val="00247288"/>
    <w:rsid w:val="00252B70"/>
    <w:rsid w:val="00254B9D"/>
    <w:rsid w:val="00256EC4"/>
    <w:rsid w:val="002629BC"/>
    <w:rsid w:val="00270B2C"/>
    <w:rsid w:val="00275909"/>
    <w:rsid w:val="00275EBA"/>
    <w:rsid w:val="00276423"/>
    <w:rsid w:val="00282458"/>
    <w:rsid w:val="00292714"/>
    <w:rsid w:val="00293878"/>
    <w:rsid w:val="00297720"/>
    <w:rsid w:val="002A10AF"/>
    <w:rsid w:val="002A46AC"/>
    <w:rsid w:val="002B020F"/>
    <w:rsid w:val="002C116F"/>
    <w:rsid w:val="002C38C0"/>
    <w:rsid w:val="002C6886"/>
    <w:rsid w:val="002D12C2"/>
    <w:rsid w:val="002D3C3C"/>
    <w:rsid w:val="002D7AED"/>
    <w:rsid w:val="002E3FF5"/>
    <w:rsid w:val="002E572B"/>
    <w:rsid w:val="00300587"/>
    <w:rsid w:val="00304BCF"/>
    <w:rsid w:val="003051E2"/>
    <w:rsid w:val="003069D2"/>
    <w:rsid w:val="00311692"/>
    <w:rsid w:val="00314306"/>
    <w:rsid w:val="003237F7"/>
    <w:rsid w:val="003238F6"/>
    <w:rsid w:val="00335094"/>
    <w:rsid w:val="0034289F"/>
    <w:rsid w:val="00352730"/>
    <w:rsid w:val="00353167"/>
    <w:rsid w:val="00367B4A"/>
    <w:rsid w:val="003736E1"/>
    <w:rsid w:val="00381058"/>
    <w:rsid w:val="00381F50"/>
    <w:rsid w:val="00382572"/>
    <w:rsid w:val="003968C8"/>
    <w:rsid w:val="003971B0"/>
    <w:rsid w:val="003A188F"/>
    <w:rsid w:val="003C0B94"/>
    <w:rsid w:val="003C2DEE"/>
    <w:rsid w:val="003C3286"/>
    <w:rsid w:val="003C77B1"/>
    <w:rsid w:val="003D1140"/>
    <w:rsid w:val="003D149D"/>
    <w:rsid w:val="003E072F"/>
    <w:rsid w:val="003E2147"/>
    <w:rsid w:val="003E6227"/>
    <w:rsid w:val="003E6ABA"/>
    <w:rsid w:val="003E6C79"/>
    <w:rsid w:val="00402FB0"/>
    <w:rsid w:val="0040645B"/>
    <w:rsid w:val="00413FD2"/>
    <w:rsid w:val="00420F1B"/>
    <w:rsid w:val="004324FD"/>
    <w:rsid w:val="00434E22"/>
    <w:rsid w:val="00437C3D"/>
    <w:rsid w:val="00437E71"/>
    <w:rsid w:val="0044004C"/>
    <w:rsid w:val="00445830"/>
    <w:rsid w:val="00445834"/>
    <w:rsid w:val="00465217"/>
    <w:rsid w:val="00471049"/>
    <w:rsid w:val="00473436"/>
    <w:rsid w:val="00476CE0"/>
    <w:rsid w:val="00484AC5"/>
    <w:rsid w:val="004863DA"/>
    <w:rsid w:val="004868CE"/>
    <w:rsid w:val="00493A2E"/>
    <w:rsid w:val="0049619F"/>
    <w:rsid w:val="004A0C22"/>
    <w:rsid w:val="004A13AE"/>
    <w:rsid w:val="004A4FC6"/>
    <w:rsid w:val="004A6746"/>
    <w:rsid w:val="004B5E8C"/>
    <w:rsid w:val="004C4495"/>
    <w:rsid w:val="004D1724"/>
    <w:rsid w:val="004D2879"/>
    <w:rsid w:val="004E1963"/>
    <w:rsid w:val="004E650A"/>
    <w:rsid w:val="004F058D"/>
    <w:rsid w:val="005006D2"/>
    <w:rsid w:val="00505F4C"/>
    <w:rsid w:val="00510288"/>
    <w:rsid w:val="005127BD"/>
    <w:rsid w:val="005251AB"/>
    <w:rsid w:val="005342C4"/>
    <w:rsid w:val="00534E79"/>
    <w:rsid w:val="005364DC"/>
    <w:rsid w:val="005575DF"/>
    <w:rsid w:val="0056160A"/>
    <w:rsid w:val="0056255B"/>
    <w:rsid w:val="0056533E"/>
    <w:rsid w:val="00566853"/>
    <w:rsid w:val="0057388C"/>
    <w:rsid w:val="005772AB"/>
    <w:rsid w:val="00581925"/>
    <w:rsid w:val="0058330F"/>
    <w:rsid w:val="005840F5"/>
    <w:rsid w:val="00587038"/>
    <w:rsid w:val="00594BB8"/>
    <w:rsid w:val="00595461"/>
    <w:rsid w:val="005973CE"/>
    <w:rsid w:val="0059791D"/>
    <w:rsid w:val="005A16F5"/>
    <w:rsid w:val="005A4731"/>
    <w:rsid w:val="005A5933"/>
    <w:rsid w:val="005A674F"/>
    <w:rsid w:val="005C096D"/>
    <w:rsid w:val="005C115B"/>
    <w:rsid w:val="005D0AC6"/>
    <w:rsid w:val="005D18FD"/>
    <w:rsid w:val="005E0103"/>
    <w:rsid w:val="005E2EE9"/>
    <w:rsid w:val="005E58DA"/>
    <w:rsid w:val="005F0440"/>
    <w:rsid w:val="005F2A49"/>
    <w:rsid w:val="006012D1"/>
    <w:rsid w:val="00602D44"/>
    <w:rsid w:val="00620AEF"/>
    <w:rsid w:val="006533CD"/>
    <w:rsid w:val="00665A77"/>
    <w:rsid w:val="00667CEB"/>
    <w:rsid w:val="00671A22"/>
    <w:rsid w:val="0067306C"/>
    <w:rsid w:val="0067772A"/>
    <w:rsid w:val="00684C86"/>
    <w:rsid w:val="00685011"/>
    <w:rsid w:val="00686580"/>
    <w:rsid w:val="0069080A"/>
    <w:rsid w:val="00690DE9"/>
    <w:rsid w:val="00692F33"/>
    <w:rsid w:val="00694E93"/>
    <w:rsid w:val="0069500F"/>
    <w:rsid w:val="00695FE7"/>
    <w:rsid w:val="006A2B60"/>
    <w:rsid w:val="006A4AC5"/>
    <w:rsid w:val="006A7766"/>
    <w:rsid w:val="006B12A0"/>
    <w:rsid w:val="006B164F"/>
    <w:rsid w:val="006B269A"/>
    <w:rsid w:val="006B4B3A"/>
    <w:rsid w:val="006B5FF0"/>
    <w:rsid w:val="006C5312"/>
    <w:rsid w:val="006D7243"/>
    <w:rsid w:val="006E13F9"/>
    <w:rsid w:val="006E4524"/>
    <w:rsid w:val="006E6DA3"/>
    <w:rsid w:val="006F0A5B"/>
    <w:rsid w:val="006F3591"/>
    <w:rsid w:val="006F3E51"/>
    <w:rsid w:val="006F72C8"/>
    <w:rsid w:val="00701C98"/>
    <w:rsid w:val="0070518E"/>
    <w:rsid w:val="00707CBD"/>
    <w:rsid w:val="00720232"/>
    <w:rsid w:val="00724BFF"/>
    <w:rsid w:val="0073374B"/>
    <w:rsid w:val="00740ACD"/>
    <w:rsid w:val="00741540"/>
    <w:rsid w:val="007477D1"/>
    <w:rsid w:val="00747BE1"/>
    <w:rsid w:val="00757056"/>
    <w:rsid w:val="0076128F"/>
    <w:rsid w:val="00782BBE"/>
    <w:rsid w:val="00782D30"/>
    <w:rsid w:val="007831B5"/>
    <w:rsid w:val="007966CC"/>
    <w:rsid w:val="00796D33"/>
    <w:rsid w:val="007A0578"/>
    <w:rsid w:val="007A0B97"/>
    <w:rsid w:val="007C1554"/>
    <w:rsid w:val="007C30DF"/>
    <w:rsid w:val="007C44A7"/>
    <w:rsid w:val="007C4EA4"/>
    <w:rsid w:val="007D0677"/>
    <w:rsid w:val="007D4394"/>
    <w:rsid w:val="007E065C"/>
    <w:rsid w:val="007E20AA"/>
    <w:rsid w:val="007E2A58"/>
    <w:rsid w:val="007E5754"/>
    <w:rsid w:val="007E6572"/>
    <w:rsid w:val="007F6669"/>
    <w:rsid w:val="00800593"/>
    <w:rsid w:val="008019F3"/>
    <w:rsid w:val="008145F4"/>
    <w:rsid w:val="008150DD"/>
    <w:rsid w:val="00825AE1"/>
    <w:rsid w:val="00832AD1"/>
    <w:rsid w:val="008501AF"/>
    <w:rsid w:val="00852DF2"/>
    <w:rsid w:val="0085314A"/>
    <w:rsid w:val="00853F6E"/>
    <w:rsid w:val="00855293"/>
    <w:rsid w:val="00883144"/>
    <w:rsid w:val="00887607"/>
    <w:rsid w:val="00887ACA"/>
    <w:rsid w:val="00890C76"/>
    <w:rsid w:val="00892895"/>
    <w:rsid w:val="00893F89"/>
    <w:rsid w:val="00894B8C"/>
    <w:rsid w:val="0089568E"/>
    <w:rsid w:val="008A443A"/>
    <w:rsid w:val="008B0D14"/>
    <w:rsid w:val="008C3AB6"/>
    <w:rsid w:val="008D0695"/>
    <w:rsid w:val="008D2DD1"/>
    <w:rsid w:val="008D5A94"/>
    <w:rsid w:val="008F4C50"/>
    <w:rsid w:val="00900392"/>
    <w:rsid w:val="00902680"/>
    <w:rsid w:val="00913F86"/>
    <w:rsid w:val="00916802"/>
    <w:rsid w:val="00917434"/>
    <w:rsid w:val="00922EB0"/>
    <w:rsid w:val="00924549"/>
    <w:rsid w:val="00930AC6"/>
    <w:rsid w:val="009321FB"/>
    <w:rsid w:val="00932F15"/>
    <w:rsid w:val="0093774F"/>
    <w:rsid w:val="00943257"/>
    <w:rsid w:val="00943871"/>
    <w:rsid w:val="00945421"/>
    <w:rsid w:val="00950209"/>
    <w:rsid w:val="009503C5"/>
    <w:rsid w:val="00957F77"/>
    <w:rsid w:val="00961657"/>
    <w:rsid w:val="00964148"/>
    <w:rsid w:val="0096429F"/>
    <w:rsid w:val="0096796F"/>
    <w:rsid w:val="00973CA8"/>
    <w:rsid w:val="00980565"/>
    <w:rsid w:val="00983F56"/>
    <w:rsid w:val="00992000"/>
    <w:rsid w:val="009C3DF8"/>
    <w:rsid w:val="009D067E"/>
    <w:rsid w:val="009E396B"/>
    <w:rsid w:val="009E776A"/>
    <w:rsid w:val="00A067E1"/>
    <w:rsid w:val="00A1582E"/>
    <w:rsid w:val="00A20B67"/>
    <w:rsid w:val="00A250D0"/>
    <w:rsid w:val="00A26328"/>
    <w:rsid w:val="00A26CCA"/>
    <w:rsid w:val="00A37231"/>
    <w:rsid w:val="00A47594"/>
    <w:rsid w:val="00A52A3D"/>
    <w:rsid w:val="00A53AF0"/>
    <w:rsid w:val="00A6180A"/>
    <w:rsid w:val="00A623AC"/>
    <w:rsid w:val="00A70CF1"/>
    <w:rsid w:val="00A76514"/>
    <w:rsid w:val="00A93108"/>
    <w:rsid w:val="00A93588"/>
    <w:rsid w:val="00A97866"/>
    <w:rsid w:val="00AA11D2"/>
    <w:rsid w:val="00AA3BED"/>
    <w:rsid w:val="00AA46B5"/>
    <w:rsid w:val="00AA6A40"/>
    <w:rsid w:val="00AA7BCC"/>
    <w:rsid w:val="00AB0A1F"/>
    <w:rsid w:val="00AC3A45"/>
    <w:rsid w:val="00AC4990"/>
    <w:rsid w:val="00AC7CB9"/>
    <w:rsid w:val="00AD0FC9"/>
    <w:rsid w:val="00AD74A3"/>
    <w:rsid w:val="00AE3951"/>
    <w:rsid w:val="00AE4A90"/>
    <w:rsid w:val="00AF139A"/>
    <w:rsid w:val="00AF6052"/>
    <w:rsid w:val="00B06DAD"/>
    <w:rsid w:val="00B103DF"/>
    <w:rsid w:val="00B142B1"/>
    <w:rsid w:val="00B14830"/>
    <w:rsid w:val="00B22DBE"/>
    <w:rsid w:val="00B25949"/>
    <w:rsid w:val="00B27075"/>
    <w:rsid w:val="00B32D71"/>
    <w:rsid w:val="00B41A49"/>
    <w:rsid w:val="00B47593"/>
    <w:rsid w:val="00B620F0"/>
    <w:rsid w:val="00B62350"/>
    <w:rsid w:val="00B62936"/>
    <w:rsid w:val="00B65D71"/>
    <w:rsid w:val="00B72EE6"/>
    <w:rsid w:val="00B74717"/>
    <w:rsid w:val="00B75BAB"/>
    <w:rsid w:val="00B80D80"/>
    <w:rsid w:val="00B84539"/>
    <w:rsid w:val="00B85291"/>
    <w:rsid w:val="00B87766"/>
    <w:rsid w:val="00B90321"/>
    <w:rsid w:val="00B90C89"/>
    <w:rsid w:val="00B95810"/>
    <w:rsid w:val="00BA26A4"/>
    <w:rsid w:val="00BA5463"/>
    <w:rsid w:val="00BA7BC5"/>
    <w:rsid w:val="00BB7002"/>
    <w:rsid w:val="00BB7B98"/>
    <w:rsid w:val="00BC3D62"/>
    <w:rsid w:val="00BD5787"/>
    <w:rsid w:val="00BE266B"/>
    <w:rsid w:val="00BE389F"/>
    <w:rsid w:val="00BE6A4A"/>
    <w:rsid w:val="00BE7BB9"/>
    <w:rsid w:val="00BF1627"/>
    <w:rsid w:val="00BF34D9"/>
    <w:rsid w:val="00BF51ED"/>
    <w:rsid w:val="00BF63E8"/>
    <w:rsid w:val="00C070D1"/>
    <w:rsid w:val="00C11F0E"/>
    <w:rsid w:val="00C228EB"/>
    <w:rsid w:val="00C232CD"/>
    <w:rsid w:val="00C24E85"/>
    <w:rsid w:val="00C35AE6"/>
    <w:rsid w:val="00C43E19"/>
    <w:rsid w:val="00C57CE0"/>
    <w:rsid w:val="00C57D94"/>
    <w:rsid w:val="00C72D11"/>
    <w:rsid w:val="00C73743"/>
    <w:rsid w:val="00C76C2B"/>
    <w:rsid w:val="00C77596"/>
    <w:rsid w:val="00C824E8"/>
    <w:rsid w:val="00C84416"/>
    <w:rsid w:val="00CA0F7A"/>
    <w:rsid w:val="00CA143B"/>
    <w:rsid w:val="00CA1859"/>
    <w:rsid w:val="00CA2C79"/>
    <w:rsid w:val="00CB3BC0"/>
    <w:rsid w:val="00CB3DAB"/>
    <w:rsid w:val="00CC0D2E"/>
    <w:rsid w:val="00CE5AE6"/>
    <w:rsid w:val="00D053B1"/>
    <w:rsid w:val="00D07680"/>
    <w:rsid w:val="00D158A8"/>
    <w:rsid w:val="00D215C2"/>
    <w:rsid w:val="00D262DF"/>
    <w:rsid w:val="00D32BDA"/>
    <w:rsid w:val="00D3630D"/>
    <w:rsid w:val="00D37122"/>
    <w:rsid w:val="00D41C3F"/>
    <w:rsid w:val="00D42ADE"/>
    <w:rsid w:val="00D54A6C"/>
    <w:rsid w:val="00D633AA"/>
    <w:rsid w:val="00D72027"/>
    <w:rsid w:val="00D7241F"/>
    <w:rsid w:val="00D75381"/>
    <w:rsid w:val="00D75EC2"/>
    <w:rsid w:val="00D87131"/>
    <w:rsid w:val="00D90371"/>
    <w:rsid w:val="00D9734B"/>
    <w:rsid w:val="00D97AAC"/>
    <w:rsid w:val="00DA0FC7"/>
    <w:rsid w:val="00DA103C"/>
    <w:rsid w:val="00DA4A1D"/>
    <w:rsid w:val="00DB2DFF"/>
    <w:rsid w:val="00DB3BBB"/>
    <w:rsid w:val="00DC2955"/>
    <w:rsid w:val="00DD163D"/>
    <w:rsid w:val="00DE11C0"/>
    <w:rsid w:val="00DE5E6B"/>
    <w:rsid w:val="00DE65F4"/>
    <w:rsid w:val="00DE7FCF"/>
    <w:rsid w:val="00DF2DC1"/>
    <w:rsid w:val="00DF6378"/>
    <w:rsid w:val="00E02551"/>
    <w:rsid w:val="00E0428B"/>
    <w:rsid w:val="00E04C30"/>
    <w:rsid w:val="00E1563E"/>
    <w:rsid w:val="00E20605"/>
    <w:rsid w:val="00E22AB9"/>
    <w:rsid w:val="00E2662A"/>
    <w:rsid w:val="00E306FC"/>
    <w:rsid w:val="00E42BFC"/>
    <w:rsid w:val="00E51F5C"/>
    <w:rsid w:val="00E521BF"/>
    <w:rsid w:val="00E56E71"/>
    <w:rsid w:val="00E623F1"/>
    <w:rsid w:val="00E65BB5"/>
    <w:rsid w:val="00E76A3A"/>
    <w:rsid w:val="00E81E40"/>
    <w:rsid w:val="00E849BF"/>
    <w:rsid w:val="00E91523"/>
    <w:rsid w:val="00E92F4C"/>
    <w:rsid w:val="00E9744C"/>
    <w:rsid w:val="00EA3D87"/>
    <w:rsid w:val="00EA67E5"/>
    <w:rsid w:val="00EA7FB6"/>
    <w:rsid w:val="00EB267A"/>
    <w:rsid w:val="00EB3D22"/>
    <w:rsid w:val="00EC4B19"/>
    <w:rsid w:val="00ED1E12"/>
    <w:rsid w:val="00ED4C1B"/>
    <w:rsid w:val="00ED56DD"/>
    <w:rsid w:val="00EF1393"/>
    <w:rsid w:val="00EF6B47"/>
    <w:rsid w:val="00F12481"/>
    <w:rsid w:val="00F2069C"/>
    <w:rsid w:val="00F26F1A"/>
    <w:rsid w:val="00F54ED6"/>
    <w:rsid w:val="00F5689C"/>
    <w:rsid w:val="00F71183"/>
    <w:rsid w:val="00F71D4F"/>
    <w:rsid w:val="00F75FB1"/>
    <w:rsid w:val="00F77F6A"/>
    <w:rsid w:val="00F97D0E"/>
    <w:rsid w:val="00FA1748"/>
    <w:rsid w:val="00FA5D03"/>
    <w:rsid w:val="00FB2DBE"/>
    <w:rsid w:val="00FC02F5"/>
    <w:rsid w:val="00FC2437"/>
    <w:rsid w:val="00FD465E"/>
    <w:rsid w:val="00FE6C30"/>
    <w:rsid w:val="00FF2F1C"/>
    <w:rsid w:val="00FF7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A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275909"/>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B142B1"/>
    <w:pPr>
      <w:ind w:left="720"/>
      <w:contextualSpacing/>
    </w:pPr>
  </w:style>
  <w:style w:type="paragraph" w:styleId="BalloonText">
    <w:name w:val="Balloon Text"/>
    <w:basedOn w:val="Normal"/>
    <w:link w:val="BalloonTextChar"/>
    <w:uiPriority w:val="99"/>
    <w:semiHidden/>
    <w:unhideWhenUsed/>
    <w:rsid w:val="0092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EB0"/>
    <w:rPr>
      <w:rFonts w:ascii="Tahoma" w:hAnsi="Tahoma" w:cs="Tahoma"/>
      <w:sz w:val="16"/>
      <w:szCs w:val="16"/>
    </w:rPr>
  </w:style>
  <w:style w:type="paragraph" w:customStyle="1" w:styleId="Default">
    <w:name w:val="Default"/>
    <w:rsid w:val="00D75EC2"/>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065B81"/>
    <w:rPr>
      <w:color w:val="0000FF" w:themeColor="hyperlink"/>
      <w:u w:val="single"/>
    </w:rPr>
  </w:style>
  <w:style w:type="paragraph" w:styleId="FootnoteText">
    <w:name w:val="footnote text"/>
    <w:basedOn w:val="Normal"/>
    <w:link w:val="FootnoteTextChar"/>
    <w:uiPriority w:val="99"/>
    <w:semiHidden/>
    <w:unhideWhenUsed/>
    <w:rsid w:val="00065B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5B81"/>
    <w:rPr>
      <w:sz w:val="20"/>
      <w:szCs w:val="20"/>
    </w:rPr>
  </w:style>
  <w:style w:type="character" w:styleId="FootnoteReference">
    <w:name w:val="footnote reference"/>
    <w:basedOn w:val="DefaultParagraphFont"/>
    <w:semiHidden/>
    <w:unhideWhenUsed/>
    <w:rsid w:val="00065B81"/>
    <w:rPr>
      <w:vertAlign w:val="superscript"/>
    </w:rPr>
  </w:style>
  <w:style w:type="character" w:styleId="CommentReference">
    <w:name w:val="annotation reference"/>
    <w:basedOn w:val="DefaultParagraphFont"/>
    <w:uiPriority w:val="99"/>
    <w:semiHidden/>
    <w:unhideWhenUsed/>
    <w:rsid w:val="00065B81"/>
    <w:rPr>
      <w:sz w:val="16"/>
      <w:szCs w:val="16"/>
    </w:rPr>
  </w:style>
  <w:style w:type="paragraph" w:styleId="CommentText">
    <w:name w:val="annotation text"/>
    <w:basedOn w:val="Normal"/>
    <w:link w:val="CommentTextChar"/>
    <w:uiPriority w:val="99"/>
    <w:semiHidden/>
    <w:unhideWhenUsed/>
    <w:rsid w:val="00065B81"/>
    <w:pPr>
      <w:spacing w:line="240" w:lineRule="auto"/>
    </w:pPr>
    <w:rPr>
      <w:sz w:val="20"/>
      <w:szCs w:val="20"/>
    </w:rPr>
  </w:style>
  <w:style w:type="character" w:customStyle="1" w:styleId="CommentTextChar">
    <w:name w:val="Comment Text Char"/>
    <w:basedOn w:val="DefaultParagraphFont"/>
    <w:link w:val="CommentText"/>
    <w:uiPriority w:val="99"/>
    <w:semiHidden/>
    <w:rsid w:val="00065B81"/>
    <w:rPr>
      <w:sz w:val="20"/>
      <w:szCs w:val="20"/>
    </w:rPr>
  </w:style>
  <w:style w:type="paragraph" w:styleId="CommentSubject">
    <w:name w:val="annotation subject"/>
    <w:basedOn w:val="CommentText"/>
    <w:next w:val="CommentText"/>
    <w:link w:val="CommentSubjectChar"/>
    <w:uiPriority w:val="99"/>
    <w:semiHidden/>
    <w:unhideWhenUsed/>
    <w:rsid w:val="00065B81"/>
    <w:rPr>
      <w:b/>
      <w:bCs/>
    </w:rPr>
  </w:style>
  <w:style w:type="character" w:customStyle="1" w:styleId="CommentSubjectChar">
    <w:name w:val="Comment Subject Char"/>
    <w:basedOn w:val="CommentTextChar"/>
    <w:link w:val="CommentSubject"/>
    <w:uiPriority w:val="99"/>
    <w:semiHidden/>
    <w:rsid w:val="00065B81"/>
    <w:rPr>
      <w:b/>
      <w:bCs/>
      <w:sz w:val="20"/>
      <w:szCs w:val="20"/>
    </w:rPr>
  </w:style>
  <w:style w:type="paragraph" w:styleId="Header">
    <w:name w:val="header"/>
    <w:basedOn w:val="Normal"/>
    <w:link w:val="HeaderChar"/>
    <w:unhideWhenUsed/>
    <w:rsid w:val="00E04C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4C30"/>
  </w:style>
  <w:style w:type="paragraph" w:styleId="Footer">
    <w:name w:val="footer"/>
    <w:basedOn w:val="Normal"/>
    <w:link w:val="FooterChar"/>
    <w:uiPriority w:val="99"/>
    <w:unhideWhenUsed/>
    <w:rsid w:val="00E04C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4C30"/>
  </w:style>
  <w:style w:type="paragraph" w:styleId="Revision">
    <w:name w:val="Revision"/>
    <w:hidden/>
    <w:uiPriority w:val="99"/>
    <w:semiHidden/>
    <w:rsid w:val="00B95810"/>
    <w:pPr>
      <w:spacing w:after="0" w:line="240" w:lineRule="auto"/>
    </w:pPr>
  </w:style>
  <w:style w:type="table" w:styleId="TableGrid">
    <w:name w:val="Table Grid"/>
    <w:basedOn w:val="TableNormal"/>
    <w:uiPriority w:val="59"/>
    <w:rsid w:val="008C3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3910">
      <w:bodyDiv w:val="1"/>
      <w:marLeft w:val="0"/>
      <w:marRight w:val="0"/>
      <w:marTop w:val="0"/>
      <w:marBottom w:val="0"/>
      <w:divBdr>
        <w:top w:val="none" w:sz="0" w:space="0" w:color="auto"/>
        <w:left w:val="none" w:sz="0" w:space="0" w:color="auto"/>
        <w:bottom w:val="none" w:sz="0" w:space="0" w:color="auto"/>
        <w:right w:val="none" w:sz="0" w:space="0" w:color="auto"/>
      </w:divBdr>
    </w:div>
    <w:div w:id="292558565">
      <w:bodyDiv w:val="1"/>
      <w:marLeft w:val="0"/>
      <w:marRight w:val="0"/>
      <w:marTop w:val="0"/>
      <w:marBottom w:val="0"/>
      <w:divBdr>
        <w:top w:val="none" w:sz="0" w:space="0" w:color="auto"/>
        <w:left w:val="none" w:sz="0" w:space="0" w:color="auto"/>
        <w:bottom w:val="none" w:sz="0" w:space="0" w:color="auto"/>
        <w:right w:val="none" w:sz="0" w:space="0" w:color="auto"/>
      </w:divBdr>
    </w:div>
    <w:div w:id="740367875">
      <w:bodyDiv w:val="1"/>
      <w:marLeft w:val="0"/>
      <w:marRight w:val="0"/>
      <w:marTop w:val="0"/>
      <w:marBottom w:val="0"/>
      <w:divBdr>
        <w:top w:val="none" w:sz="0" w:space="0" w:color="auto"/>
        <w:left w:val="none" w:sz="0" w:space="0" w:color="auto"/>
        <w:bottom w:val="none" w:sz="0" w:space="0" w:color="auto"/>
        <w:right w:val="none" w:sz="0" w:space="0" w:color="auto"/>
      </w:divBdr>
    </w:div>
    <w:div w:id="1024088829">
      <w:bodyDiv w:val="1"/>
      <w:marLeft w:val="0"/>
      <w:marRight w:val="0"/>
      <w:marTop w:val="0"/>
      <w:marBottom w:val="0"/>
      <w:divBdr>
        <w:top w:val="none" w:sz="0" w:space="0" w:color="auto"/>
        <w:left w:val="none" w:sz="0" w:space="0" w:color="auto"/>
        <w:bottom w:val="none" w:sz="0" w:space="0" w:color="auto"/>
        <w:right w:val="none" w:sz="0" w:space="0" w:color="auto"/>
      </w:divBdr>
    </w:div>
    <w:div w:id="1384985836">
      <w:bodyDiv w:val="1"/>
      <w:marLeft w:val="0"/>
      <w:marRight w:val="0"/>
      <w:marTop w:val="0"/>
      <w:marBottom w:val="0"/>
      <w:divBdr>
        <w:top w:val="none" w:sz="0" w:space="0" w:color="auto"/>
        <w:left w:val="none" w:sz="0" w:space="0" w:color="auto"/>
        <w:bottom w:val="none" w:sz="0" w:space="0" w:color="auto"/>
        <w:right w:val="none" w:sz="0" w:space="0" w:color="auto"/>
      </w:divBdr>
    </w:div>
    <w:div w:id="1642229436">
      <w:bodyDiv w:val="1"/>
      <w:marLeft w:val="0"/>
      <w:marRight w:val="0"/>
      <w:marTop w:val="0"/>
      <w:marBottom w:val="0"/>
      <w:divBdr>
        <w:top w:val="none" w:sz="0" w:space="0" w:color="auto"/>
        <w:left w:val="none" w:sz="0" w:space="0" w:color="auto"/>
        <w:bottom w:val="none" w:sz="0" w:space="0" w:color="auto"/>
        <w:right w:val="none" w:sz="0" w:space="0" w:color="auto"/>
      </w:divBdr>
    </w:div>
    <w:div w:id="2100784749">
      <w:bodyDiv w:val="1"/>
      <w:marLeft w:val="0"/>
      <w:marRight w:val="0"/>
      <w:marTop w:val="0"/>
      <w:marBottom w:val="0"/>
      <w:divBdr>
        <w:top w:val="none" w:sz="0" w:space="0" w:color="auto"/>
        <w:left w:val="none" w:sz="0" w:space="0" w:color="auto"/>
        <w:bottom w:val="none" w:sz="0" w:space="0" w:color="auto"/>
        <w:right w:val="none" w:sz="0" w:space="0" w:color="auto"/>
      </w:divBdr>
    </w:div>
    <w:div w:id="211281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E340F-BB3D-43D3-87B7-60751FE3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2729</Characters>
  <Application>Microsoft Office Word</Application>
  <DocSecurity>0</DocSecurity>
  <Lines>22</Lines>
  <Paragraphs>6</Paragraphs>
  <ScaleCrop>false</ScaleCrop>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2024-09-05T17:11:00Z</dcterms:created>
  <dcterms:modified xsi:type="dcterms:W3CDTF">2024-09-05T17:12:00Z</dcterms:modified>
</cp:coreProperties>
</file>